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71" w:rsidRDefault="00251A0D" w:rsidP="006022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2720" cy="958850"/>
            <wp:effectExtent l="19050" t="0" r="5080" b="0"/>
            <wp:wrapSquare wrapText="bothSides"/>
            <wp:docPr id="1" name="0 Resim" descr="log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A0D" w:rsidRDefault="00251A0D" w:rsidP="00602271">
      <w:pPr>
        <w:rPr>
          <w:b/>
        </w:rPr>
      </w:pPr>
    </w:p>
    <w:p w:rsidR="00251A0D" w:rsidRDefault="00251A0D" w:rsidP="00602271">
      <w:pPr>
        <w:rPr>
          <w:b/>
        </w:rPr>
      </w:pPr>
    </w:p>
    <w:p w:rsidR="00251A0D" w:rsidRDefault="00251A0D" w:rsidP="00602271">
      <w:pPr>
        <w:rPr>
          <w:b/>
        </w:rPr>
      </w:pPr>
    </w:p>
    <w:p w:rsidR="00251A0D" w:rsidRDefault="00251A0D" w:rsidP="00602271">
      <w:pPr>
        <w:rPr>
          <w:b/>
        </w:rPr>
      </w:pPr>
    </w:p>
    <w:p w:rsidR="00251A0D" w:rsidRDefault="00251A0D" w:rsidP="00602271">
      <w:pPr>
        <w:rPr>
          <w:b/>
        </w:rPr>
      </w:pPr>
    </w:p>
    <w:p w:rsidR="00251A0D" w:rsidRDefault="00251A0D" w:rsidP="00602271">
      <w:pPr>
        <w:rPr>
          <w:b/>
        </w:rPr>
      </w:pPr>
    </w:p>
    <w:p w:rsidR="00251A0D" w:rsidRPr="002F053D" w:rsidRDefault="002F053D" w:rsidP="00602271">
      <w:pPr>
        <w:rPr>
          <w:b/>
          <w:sz w:val="20"/>
          <w:szCs w:val="20"/>
          <w:u w:val="single"/>
        </w:rPr>
      </w:pPr>
      <w:r w:rsidRPr="002F053D">
        <w:rPr>
          <w:b/>
          <w:sz w:val="20"/>
          <w:szCs w:val="20"/>
          <w:u w:val="single"/>
        </w:rPr>
        <w:t>BASIN BÜLTENİ</w:t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Pr="002F053D">
        <w:rPr>
          <w:b/>
          <w:sz w:val="20"/>
          <w:szCs w:val="20"/>
          <w:u w:val="single"/>
        </w:rPr>
        <w:tab/>
      </w:r>
      <w:r w:rsidR="00462B85">
        <w:rPr>
          <w:b/>
          <w:sz w:val="20"/>
          <w:szCs w:val="20"/>
          <w:u w:val="single"/>
        </w:rPr>
        <w:t xml:space="preserve"> </w:t>
      </w:r>
      <w:proofErr w:type="gramStart"/>
      <w:r w:rsidRPr="002F053D">
        <w:rPr>
          <w:b/>
          <w:sz w:val="20"/>
          <w:szCs w:val="20"/>
          <w:u w:val="single"/>
        </w:rPr>
        <w:t>02/04/2014</w:t>
      </w:r>
      <w:proofErr w:type="gramEnd"/>
    </w:p>
    <w:p w:rsidR="002A1D8A" w:rsidRDefault="002A1D8A" w:rsidP="00602271">
      <w:pPr>
        <w:rPr>
          <w:b/>
        </w:rPr>
      </w:pPr>
    </w:p>
    <w:p w:rsidR="00602271" w:rsidRPr="00602271" w:rsidRDefault="00A03806" w:rsidP="00A03806">
      <w:pPr>
        <w:jc w:val="center"/>
        <w:rPr>
          <w:b/>
        </w:rPr>
      </w:pPr>
      <w:r>
        <w:rPr>
          <w:b/>
        </w:rPr>
        <w:t xml:space="preserve">Türk Sineması Araştırmaları </w:t>
      </w:r>
      <w:r w:rsidR="009C07D6">
        <w:rPr>
          <w:b/>
        </w:rPr>
        <w:t xml:space="preserve">Veritabanı </w:t>
      </w:r>
      <w:r w:rsidR="00602271" w:rsidRPr="00A03806">
        <w:rPr>
          <w:b/>
        </w:rPr>
        <w:t xml:space="preserve">Haziran </w:t>
      </w:r>
      <w:r w:rsidR="009C07D6" w:rsidRPr="00A03806">
        <w:rPr>
          <w:b/>
        </w:rPr>
        <w:t>Ayında Test Yayınına Başlıyor</w:t>
      </w:r>
    </w:p>
    <w:p w:rsidR="00602271" w:rsidRDefault="00602271" w:rsidP="00602271"/>
    <w:p w:rsidR="00602271" w:rsidRPr="00462B85" w:rsidRDefault="00602271" w:rsidP="00602271">
      <w:pPr>
        <w:jc w:val="center"/>
        <w:rPr>
          <w:b/>
          <w:sz w:val="40"/>
          <w:szCs w:val="40"/>
        </w:rPr>
      </w:pPr>
      <w:r w:rsidRPr="00462B85">
        <w:rPr>
          <w:b/>
          <w:sz w:val="40"/>
          <w:szCs w:val="40"/>
        </w:rPr>
        <w:t>Osmanlı’dan Günümüze Türk Sineması</w:t>
      </w:r>
    </w:p>
    <w:p w:rsidR="00602271" w:rsidRPr="00462B85" w:rsidRDefault="00602271" w:rsidP="00602271">
      <w:pPr>
        <w:jc w:val="center"/>
        <w:rPr>
          <w:b/>
          <w:sz w:val="40"/>
          <w:szCs w:val="40"/>
        </w:rPr>
      </w:pPr>
      <w:r w:rsidRPr="00462B85">
        <w:rPr>
          <w:b/>
          <w:sz w:val="40"/>
          <w:szCs w:val="40"/>
        </w:rPr>
        <w:t>Elimizin Altında Olacak</w:t>
      </w:r>
    </w:p>
    <w:p w:rsidR="00602271" w:rsidRPr="00602271" w:rsidRDefault="00602271" w:rsidP="00602271">
      <w:pPr>
        <w:jc w:val="center"/>
        <w:rPr>
          <w:b/>
        </w:rPr>
      </w:pPr>
    </w:p>
    <w:p w:rsidR="00602271" w:rsidRPr="00462B85" w:rsidRDefault="00602271" w:rsidP="002A1D8A">
      <w:pPr>
        <w:spacing w:line="360" w:lineRule="auto"/>
        <w:jc w:val="center"/>
        <w:rPr>
          <w:b/>
          <w:sz w:val="28"/>
          <w:szCs w:val="28"/>
        </w:rPr>
      </w:pPr>
      <w:r w:rsidRPr="00462B85">
        <w:rPr>
          <w:b/>
          <w:sz w:val="28"/>
          <w:szCs w:val="28"/>
        </w:rPr>
        <w:t xml:space="preserve">Türk Sineması Araştırmaları (TSA) projesi kapsamında Osmanlı'dan başlayarak Türk sinemasına dair yazılı, görsel ve işitsel tüm materyal titiz bir araştırmayla </w:t>
      </w:r>
      <w:r w:rsidR="00F007FA" w:rsidRPr="00462B85">
        <w:rPr>
          <w:b/>
          <w:sz w:val="28"/>
          <w:szCs w:val="28"/>
        </w:rPr>
        <w:t>ele alınarak künye bilgileri oluşturuluyor</w:t>
      </w:r>
      <w:r w:rsidRPr="00462B85">
        <w:rPr>
          <w:b/>
          <w:sz w:val="28"/>
          <w:szCs w:val="28"/>
        </w:rPr>
        <w:t xml:space="preserve">. Proje tamamlandığında tarihimizin ve kültürümüzün çok önemli bir parçası olan Türk Sineması’nın en kapsamlı </w:t>
      </w:r>
      <w:r w:rsidR="004371E0" w:rsidRPr="00462B85">
        <w:rPr>
          <w:b/>
          <w:sz w:val="28"/>
          <w:szCs w:val="28"/>
        </w:rPr>
        <w:t>veritabanı ve arşivi</w:t>
      </w:r>
      <w:r w:rsidR="00D37998" w:rsidRPr="00462B85">
        <w:rPr>
          <w:b/>
          <w:sz w:val="28"/>
          <w:szCs w:val="28"/>
        </w:rPr>
        <w:t>,</w:t>
      </w:r>
      <w:r w:rsidRPr="00462B85">
        <w:rPr>
          <w:b/>
          <w:sz w:val="28"/>
          <w:szCs w:val="28"/>
        </w:rPr>
        <w:t xml:space="preserve"> herkes için ulaşılabilir hale gelecek.</w:t>
      </w:r>
    </w:p>
    <w:p w:rsidR="00462B85" w:rsidRDefault="00462B85" w:rsidP="002F053D">
      <w:pPr>
        <w:spacing w:line="360" w:lineRule="auto"/>
        <w:jc w:val="both"/>
      </w:pPr>
    </w:p>
    <w:p w:rsidR="00602271" w:rsidRDefault="00462B85" w:rsidP="002F053D">
      <w:pPr>
        <w:spacing w:line="360" w:lineRule="auto"/>
        <w:jc w:val="both"/>
      </w:pPr>
      <w:r>
        <w:t>“</w:t>
      </w:r>
      <w:r w:rsidR="00602271">
        <w:t xml:space="preserve">Türk Sineması ancak kökleriyle olan bağı </w:t>
      </w:r>
      <w:r w:rsidR="00F54E0F">
        <w:t xml:space="preserve">akademik </w:t>
      </w:r>
      <w:r w:rsidR="00602271">
        <w:t xml:space="preserve">bir yaklaşımla yeniden kurularak yarına taşınabilir” </w:t>
      </w:r>
      <w:proofErr w:type="gramStart"/>
      <w:r w:rsidR="00602271">
        <w:t>mottosuyla</w:t>
      </w:r>
      <w:proofErr w:type="gramEnd"/>
      <w:r w:rsidR="00602271">
        <w:t xml:space="preserve"> yola çıkan Bilim ve Sanat Vakfı</w:t>
      </w:r>
      <w:r w:rsidR="00F54E0F">
        <w:t xml:space="preserve"> (BİSAV)</w:t>
      </w:r>
      <w:r w:rsidR="00602271">
        <w:t xml:space="preserve"> ve İstanbul Şehir Üniversitesi Sinema TV Bölümü, İstanbul Kalkınma Ajansı’nın desteğiyle </w:t>
      </w:r>
      <w:r w:rsidR="008D2BF5">
        <w:t xml:space="preserve">Türk Sineması çatısı altında hayat bulan tüm çalışmaları sistematik bir şekilde ele </w:t>
      </w:r>
      <w:r w:rsidR="00A03806">
        <w:t xml:space="preserve">alarak </w:t>
      </w:r>
      <w:r w:rsidR="008D2BF5">
        <w:t>geniş, kapsamlı bir tespit, temin ve tas</w:t>
      </w:r>
      <w:r w:rsidR="00D23ACE">
        <w:t>n</w:t>
      </w:r>
      <w:r w:rsidR="008D2BF5">
        <w:t xml:space="preserve">if çalışması yürütüyor. </w:t>
      </w:r>
      <w:r w:rsidR="00602271">
        <w:t xml:space="preserve">Akademisyenlerden Türk Sineması ile ilgili herhangi bir bilgiyi arayan herkese hitap edecek www.tsa.org.tr </w:t>
      </w:r>
      <w:r w:rsidR="00A03806">
        <w:t xml:space="preserve">üzerinden </w:t>
      </w:r>
      <w:r w:rsidR="00602271">
        <w:t xml:space="preserve">film, kişi, kitap, dergi, makale, röportaj ve tez kategorilerinde </w:t>
      </w:r>
      <w:r w:rsidR="00D37998">
        <w:t>onbinlerce</w:t>
      </w:r>
      <w:r w:rsidR="00933F70">
        <w:t xml:space="preserve"> </w:t>
      </w:r>
      <w:r w:rsidR="008115D5">
        <w:t xml:space="preserve">başlığa ait künye bilgilerine ve </w:t>
      </w:r>
      <w:r w:rsidR="00A107EB">
        <w:t xml:space="preserve">telif hakkı söz konusu olmayan </w:t>
      </w:r>
      <w:r w:rsidR="008115D5">
        <w:t xml:space="preserve">ilgili </w:t>
      </w:r>
      <w:r w:rsidR="004371E0">
        <w:t>dokümanlara</w:t>
      </w:r>
      <w:r w:rsidR="008115D5">
        <w:t xml:space="preserve"> </w:t>
      </w:r>
      <w:r w:rsidR="00602271">
        <w:t xml:space="preserve">ulaşmak mümkün olacak. </w:t>
      </w:r>
      <w:r w:rsidR="00A107EB">
        <w:t>Veritabanına paralel olarak proje kapsamında temi</w:t>
      </w:r>
      <w:r w:rsidR="004371E0">
        <w:t xml:space="preserve">n </w:t>
      </w:r>
      <w:r w:rsidR="00A107EB">
        <w:t xml:space="preserve">edilen </w:t>
      </w:r>
      <w:r w:rsidR="004371E0">
        <w:t>filmler, kitaplar, süreli yayınlar,</w:t>
      </w:r>
      <w:r w:rsidR="004371E0" w:rsidRPr="004371E0">
        <w:t xml:space="preserve"> </w:t>
      </w:r>
      <w:r w:rsidR="004371E0">
        <w:t>afişler, lobiler, vb materyallerle</w:t>
      </w:r>
      <w:r w:rsidR="00A03806">
        <w:t xml:space="preserve"> BİSAV Kütüphanesi bünyesinde oluşturulması planlanan TSA</w:t>
      </w:r>
      <w:r w:rsidR="00A107EB">
        <w:t xml:space="preserve"> Arşiv Birimi </w:t>
      </w:r>
      <w:r w:rsidR="00A03806">
        <w:t>yine araştırmacıların ve akademisyenlerin kullanımına açılacak.</w:t>
      </w:r>
      <w:r w:rsidR="004371E0">
        <w:t xml:space="preserve"> </w:t>
      </w:r>
    </w:p>
    <w:p w:rsidR="00602271" w:rsidRDefault="00602271" w:rsidP="002F053D">
      <w:pPr>
        <w:spacing w:line="360" w:lineRule="auto"/>
        <w:jc w:val="both"/>
      </w:pPr>
    </w:p>
    <w:p w:rsidR="00602271" w:rsidRPr="00602271" w:rsidRDefault="00602271" w:rsidP="002F053D">
      <w:pPr>
        <w:spacing w:line="360" w:lineRule="auto"/>
        <w:jc w:val="both"/>
        <w:rPr>
          <w:b/>
        </w:rPr>
      </w:pPr>
      <w:r w:rsidRPr="00602271">
        <w:rPr>
          <w:b/>
        </w:rPr>
        <w:t>Tü</w:t>
      </w:r>
      <w:r w:rsidR="002A1D8A">
        <w:rPr>
          <w:b/>
        </w:rPr>
        <w:t xml:space="preserve">rk </w:t>
      </w:r>
      <w:r w:rsidR="00B07F9F">
        <w:rPr>
          <w:b/>
        </w:rPr>
        <w:t xml:space="preserve">Sineması </w:t>
      </w:r>
      <w:r w:rsidR="002A1D8A">
        <w:rPr>
          <w:b/>
        </w:rPr>
        <w:t xml:space="preserve">hafızasına </w:t>
      </w:r>
      <w:r w:rsidR="00A107EB">
        <w:rPr>
          <w:b/>
        </w:rPr>
        <w:t>kavuşuyor</w:t>
      </w:r>
    </w:p>
    <w:p w:rsidR="00F007FA" w:rsidRDefault="00933F70" w:rsidP="002F053D">
      <w:pPr>
        <w:spacing w:line="360" w:lineRule="auto"/>
        <w:jc w:val="both"/>
        <w:rPr>
          <w:b/>
        </w:rPr>
      </w:pPr>
      <w:r>
        <w:t>Türk S</w:t>
      </w:r>
      <w:r w:rsidR="00602271">
        <w:t>ineması’nın kaynaklarını koruma çabaları ve sinema tarihi konusundaki çalışmalar</w:t>
      </w:r>
      <w:r w:rsidR="00D451E9">
        <w:t>ın oldukça geç başlaması nedeniyle</w:t>
      </w:r>
      <w:r w:rsidR="00602271">
        <w:t xml:space="preserve"> </w:t>
      </w:r>
      <w:r w:rsidR="00B07F9F">
        <w:t xml:space="preserve">sinema </w:t>
      </w:r>
      <w:r w:rsidR="00D451E9">
        <w:t>t</w:t>
      </w:r>
      <w:r w:rsidR="00602271">
        <w:t xml:space="preserve">arihimize dair bilgi ve belgelerin pek çoğu dağınık halde bulunuyor. </w:t>
      </w:r>
      <w:proofErr w:type="gramStart"/>
      <w:r w:rsidR="00602271">
        <w:t>TSA proje</w:t>
      </w:r>
      <w:r w:rsidR="00D451E9">
        <w:t>sinin öncelikli amacının Türk Sineması’nın</w:t>
      </w:r>
      <w:r w:rsidR="00602271">
        <w:t xml:space="preserve"> başlangıcından </w:t>
      </w:r>
      <w:r w:rsidR="00602271">
        <w:lastRenderedPageBreak/>
        <w:t>bugüne dek yaklaşık yüz yıldır ortaya koyduğu birikimin gelecek kuşaklara doğru ve sist</w:t>
      </w:r>
      <w:r w:rsidR="00D451E9">
        <w:t xml:space="preserve">ematik bir şekilde aktarılması </w:t>
      </w:r>
      <w:r w:rsidR="002A1D8A">
        <w:t>olduğunu</w:t>
      </w:r>
      <w:r w:rsidR="00934D3B">
        <w:t xml:space="preserve">n altını çizen </w:t>
      </w:r>
      <w:r w:rsidR="00B07F9F">
        <w:t>proje koordinatörü Murat Pay</w:t>
      </w:r>
      <w:r w:rsidR="008115D5">
        <w:t xml:space="preserve"> </w:t>
      </w:r>
      <w:r w:rsidR="00D451E9">
        <w:t>“</w:t>
      </w:r>
      <w:r w:rsidR="002A1D8A">
        <w:t>Gerçekleştirdiğimiz titiz çalışmalar sonucunda</w:t>
      </w:r>
      <w:r w:rsidR="00D451E9">
        <w:t xml:space="preserve"> </w:t>
      </w:r>
      <w:r w:rsidR="002A1D8A">
        <w:t xml:space="preserve">inanıyoruz ki </w:t>
      </w:r>
      <w:r w:rsidR="00D451E9">
        <w:t>s</w:t>
      </w:r>
      <w:r w:rsidR="00602271">
        <w:t>inema tarihi</w:t>
      </w:r>
      <w:r w:rsidR="00D451E9">
        <w:t>miz</w:t>
      </w:r>
      <w:r w:rsidR="00602271">
        <w:t xml:space="preserve"> üzerine yeni araştırmalara zemin hazır</w:t>
      </w:r>
      <w:r w:rsidR="00D451E9">
        <w:t>lanacak</w:t>
      </w:r>
      <w:r w:rsidR="002A1D8A">
        <w:t xml:space="preserve"> ve </w:t>
      </w:r>
      <w:r w:rsidR="00A107EB">
        <w:t xml:space="preserve">özellikle erken dönemlerle ilgili yapılan akademik çalışmaların sayısı hızla artacak. </w:t>
      </w:r>
      <w:proofErr w:type="gramEnd"/>
      <w:r w:rsidR="00602271">
        <w:t>Bugüne dek 8 özel, 2 devlet arş</w:t>
      </w:r>
      <w:r w:rsidR="00D451E9">
        <w:t>ivi bu anlamda elden geçirildi.</w:t>
      </w:r>
      <w:r w:rsidR="00B07F9F" w:rsidDel="00B07F9F">
        <w:t xml:space="preserve"> </w:t>
      </w:r>
      <w:r w:rsidR="00A03806">
        <w:t>Meslek birlikleri, dernekler ve sektördeki firmalarla iletişime geçip, bilgi paylaşımında bulun</w:t>
      </w:r>
      <w:r w:rsidR="00B07F9F">
        <w:t xml:space="preserve">maya başladık. Yurtdışında on beş civarı sinematekle iletişim kurarak erken dönem Türk Sineması'nın izlerini araştırıyoruz. </w:t>
      </w:r>
      <w:r w:rsidR="0060438E">
        <w:t xml:space="preserve">Bu kapsamda </w:t>
      </w:r>
      <w:r w:rsidR="0046401B">
        <w:t xml:space="preserve">Taksim Atatürk Kitaplığı ve Beyazıt Devlet Kütüphanesi'nden Osmanlı'dan günümüze sadece sinema konulu 60 farklı derginin 3000 sayısı </w:t>
      </w:r>
      <w:proofErr w:type="spellStart"/>
      <w:r w:rsidR="0046401B">
        <w:t>dijitalize</w:t>
      </w:r>
      <w:proofErr w:type="spellEnd"/>
      <w:r w:rsidR="0046401B">
        <w:t xml:space="preserve"> </w:t>
      </w:r>
      <w:r w:rsidR="00F54E0F">
        <w:t>edildi</w:t>
      </w:r>
      <w:r w:rsidR="002F053D">
        <w:t>.</w:t>
      </w:r>
      <w:r w:rsidR="00462B85">
        <w:t xml:space="preserve"> </w:t>
      </w:r>
      <w:r w:rsidR="0046401B">
        <w:t xml:space="preserve">Yine Beyazıt Devlet Kütüphanesi arşivinden yaklaşık </w:t>
      </w:r>
      <w:r w:rsidR="007B740F">
        <w:t xml:space="preserve">5300 </w:t>
      </w:r>
      <w:r w:rsidR="00B07F9F">
        <w:t>afiş, 3000 lobi fotoğraflandı</w:t>
      </w:r>
      <w:r w:rsidR="002F053D">
        <w:t>” dedi.</w:t>
      </w:r>
      <w:r w:rsidR="00462B85">
        <w:t xml:space="preserve"> </w:t>
      </w:r>
      <w:proofErr w:type="gramStart"/>
      <w:r w:rsidR="002F053D">
        <w:t>R</w:t>
      </w:r>
      <w:r w:rsidR="0060438E">
        <w:t xml:space="preserve">esmi </w:t>
      </w:r>
      <w:r w:rsidR="00F54E0F">
        <w:t xml:space="preserve">ve özel arşivlerdeki </w:t>
      </w:r>
      <w:r w:rsidR="00ED4927">
        <w:t xml:space="preserve">Osmanlı dönemi sinema çalışmalarıyla ilgili belgeleri </w:t>
      </w:r>
      <w:proofErr w:type="spellStart"/>
      <w:r w:rsidR="004371E0">
        <w:t>latinize</w:t>
      </w:r>
      <w:proofErr w:type="spellEnd"/>
      <w:r w:rsidR="004371E0">
        <w:t xml:space="preserve"> e</w:t>
      </w:r>
      <w:r w:rsidR="002F053D">
        <w:t>ttiklerini ve</w:t>
      </w:r>
      <w:r w:rsidR="00ED4927">
        <w:t xml:space="preserve"> </w:t>
      </w:r>
      <w:r w:rsidR="004371E0">
        <w:t xml:space="preserve">Fransızca süreli </w:t>
      </w:r>
      <w:r w:rsidR="00ED4927">
        <w:t>yayınlar</w:t>
      </w:r>
      <w:r w:rsidR="004371E0">
        <w:t xml:space="preserve">daki Türk Sineması dair önemli içerikleri tespit ederek </w:t>
      </w:r>
      <w:proofErr w:type="spellStart"/>
      <w:r w:rsidR="004371E0" w:rsidRPr="004371E0">
        <w:t>Türkçe</w:t>
      </w:r>
      <w:r w:rsidR="00B07F9F">
        <w:t>'</w:t>
      </w:r>
      <w:r w:rsidR="004371E0" w:rsidRPr="004371E0">
        <w:t>ye</w:t>
      </w:r>
      <w:proofErr w:type="spellEnd"/>
      <w:r w:rsidR="004371E0">
        <w:t xml:space="preserve"> </w:t>
      </w:r>
      <w:r w:rsidR="00ED4927">
        <w:t>çevir</w:t>
      </w:r>
      <w:r w:rsidR="002F053D">
        <w:t>diklerini belirten Pay, “</w:t>
      </w:r>
      <w:r w:rsidR="00ED4927">
        <w:t xml:space="preserve"> </w:t>
      </w:r>
      <w:r w:rsidR="002A1D8A">
        <w:t>Bu anlamda p</w:t>
      </w:r>
      <w:r w:rsidR="00ED4927">
        <w:t>roje tamamlandığında sinemamıza dair pek çok yeni bilgiye de ulaşacağız</w:t>
      </w:r>
      <w:r w:rsidR="00251A0D">
        <w:t xml:space="preserve"> ve sinema tarihi</w:t>
      </w:r>
      <w:r w:rsidR="00A03806">
        <w:t>ni yeni ve farklı okumalarla ele alacağız</w:t>
      </w:r>
      <w:r w:rsidR="00ED4927">
        <w:t xml:space="preserve">” </w:t>
      </w:r>
      <w:r w:rsidR="002A1D8A">
        <w:t xml:space="preserve">şeklinde konuştu. </w:t>
      </w:r>
      <w:proofErr w:type="gramEnd"/>
    </w:p>
    <w:p w:rsidR="00A03806" w:rsidRDefault="00A03806" w:rsidP="002F053D">
      <w:pPr>
        <w:spacing w:line="360" w:lineRule="auto"/>
        <w:jc w:val="both"/>
        <w:rPr>
          <w:b/>
        </w:rPr>
      </w:pPr>
    </w:p>
    <w:p w:rsidR="00870F6B" w:rsidRPr="00870F6B" w:rsidRDefault="00F007FA" w:rsidP="002F053D">
      <w:pPr>
        <w:spacing w:line="360" w:lineRule="auto"/>
        <w:jc w:val="both"/>
        <w:rPr>
          <w:b/>
        </w:rPr>
      </w:pPr>
      <w:r>
        <w:rPr>
          <w:b/>
        </w:rPr>
        <w:t>Önemli</w:t>
      </w:r>
      <w:r w:rsidRPr="00870F6B">
        <w:rPr>
          <w:b/>
        </w:rPr>
        <w:t xml:space="preserve"> </w:t>
      </w:r>
      <w:r w:rsidR="00870F6B" w:rsidRPr="00870F6B">
        <w:rPr>
          <w:b/>
        </w:rPr>
        <w:t xml:space="preserve">isimler </w:t>
      </w:r>
      <w:r w:rsidR="002A1D8A">
        <w:rPr>
          <w:b/>
        </w:rPr>
        <w:t>projeye destek veriyor</w:t>
      </w:r>
    </w:p>
    <w:p w:rsidR="008C6C9A" w:rsidRDefault="008F04A0" w:rsidP="002F053D">
      <w:pPr>
        <w:spacing w:line="360" w:lineRule="auto"/>
        <w:jc w:val="both"/>
      </w:pPr>
      <w:r>
        <w:t>H</w:t>
      </w:r>
      <w:r w:rsidR="00602271">
        <w:t xml:space="preserve">aziran ayının </w:t>
      </w:r>
      <w:r>
        <w:t>ilk günlerinde test yayınına başlayacak</w:t>
      </w:r>
      <w:r w:rsidR="00602271">
        <w:t xml:space="preserve"> projenin danışma kurulunda Giovanni Scognamillo, Burçak Evren, Semih </w:t>
      </w:r>
      <w:proofErr w:type="spellStart"/>
      <w:r w:rsidR="00602271">
        <w:t>Kaplanoğlu</w:t>
      </w:r>
      <w:proofErr w:type="spellEnd"/>
      <w:r w:rsidR="00602271">
        <w:t xml:space="preserve">, Peyami </w:t>
      </w:r>
      <w:proofErr w:type="spellStart"/>
      <w:r w:rsidR="00602271">
        <w:t>Çelikcan</w:t>
      </w:r>
      <w:proofErr w:type="spellEnd"/>
      <w:r w:rsidR="00870F6B">
        <w:t xml:space="preserve">, </w:t>
      </w:r>
      <w:r w:rsidR="0046401B">
        <w:t xml:space="preserve">Yalçın Yelence, </w:t>
      </w:r>
      <w:r w:rsidR="00870F6B" w:rsidRPr="00870F6B">
        <w:t>Abdülhamit Kırmız</w:t>
      </w:r>
      <w:r w:rsidR="00515A4E">
        <w:t>ı</w:t>
      </w:r>
      <w:r w:rsidR="00870F6B" w:rsidRPr="00870F6B">
        <w:t xml:space="preserve">, </w:t>
      </w:r>
      <w:r w:rsidR="0046401B">
        <w:t xml:space="preserve">Celil Civan </w:t>
      </w:r>
      <w:r w:rsidR="00602271">
        <w:t xml:space="preserve">gibi isimler yer alıyor. </w:t>
      </w:r>
      <w:r w:rsidR="00A03806">
        <w:t xml:space="preserve">Proje kapsamında </w:t>
      </w:r>
      <w:r w:rsidR="00602271" w:rsidRPr="00A03806">
        <w:t>Ag</w:t>
      </w:r>
      <w:r w:rsidR="007B740F">
        <w:t>â</w:t>
      </w:r>
      <w:r w:rsidR="00602271" w:rsidRPr="00A03806">
        <w:t xml:space="preserve">h </w:t>
      </w:r>
      <w:proofErr w:type="spellStart"/>
      <w:r w:rsidR="00602271" w:rsidRPr="00A03806">
        <w:t>Özgüç</w:t>
      </w:r>
      <w:proofErr w:type="spellEnd"/>
      <w:r w:rsidR="007B740F">
        <w:t xml:space="preserve"> ve</w:t>
      </w:r>
      <w:r w:rsidR="004371E0" w:rsidRPr="00A03806">
        <w:t xml:space="preserve"> </w:t>
      </w:r>
      <w:proofErr w:type="spellStart"/>
      <w:r w:rsidR="004371E0" w:rsidRPr="00A03806">
        <w:t>Vadullah</w:t>
      </w:r>
      <w:proofErr w:type="spellEnd"/>
      <w:r w:rsidR="004371E0" w:rsidRPr="00A03806">
        <w:t xml:space="preserve"> Taş gibi </w:t>
      </w:r>
      <w:r w:rsidR="00A03806" w:rsidRPr="00A03806">
        <w:t>koleksiyonerlerin</w:t>
      </w:r>
      <w:r w:rsidR="004371E0" w:rsidRPr="00A03806">
        <w:t xml:space="preserve"> arşivlerinden istifade ediliyor.</w:t>
      </w:r>
      <w:r w:rsidR="00A03806">
        <w:t xml:space="preserve"> </w:t>
      </w:r>
      <w:r w:rsidR="00870F6B">
        <w:rPr>
          <w:rFonts w:eastAsia="Times New Roman"/>
        </w:rPr>
        <w:t>8 kişinin tam</w:t>
      </w:r>
      <w:r w:rsidR="002A1D8A">
        <w:rPr>
          <w:rFonts w:eastAsia="Times New Roman"/>
        </w:rPr>
        <w:t>,</w:t>
      </w:r>
      <w:r w:rsidR="00870F6B">
        <w:rPr>
          <w:rFonts w:eastAsia="Times New Roman"/>
        </w:rPr>
        <w:t xml:space="preserve"> 5 kişinin ise yarı zamanlı</w:t>
      </w:r>
      <w:r w:rsidR="00870F6B">
        <w:t xml:space="preserve"> çalıştığı proje </w:t>
      </w:r>
      <w:r w:rsidR="0046401B">
        <w:t xml:space="preserve">birçok gönüllü </w:t>
      </w:r>
      <w:r w:rsidR="00F007FA">
        <w:t>tarafından da destekleniyor.</w:t>
      </w:r>
      <w:r w:rsidR="00870F6B">
        <w:t xml:space="preserve"> </w:t>
      </w:r>
    </w:p>
    <w:p w:rsidR="00B9108C" w:rsidRDefault="00B9108C" w:rsidP="002F053D">
      <w:pPr>
        <w:spacing w:line="360" w:lineRule="auto"/>
        <w:jc w:val="both"/>
      </w:pPr>
    </w:p>
    <w:p w:rsidR="00B9108C" w:rsidRPr="00602271" w:rsidRDefault="00B9108C" w:rsidP="002F053D">
      <w:pPr>
        <w:spacing w:line="360" w:lineRule="auto"/>
        <w:jc w:val="both"/>
      </w:pPr>
      <w:r w:rsidRPr="00B9108C">
        <w:rPr>
          <w:b/>
        </w:rPr>
        <w:t>Basın Bilgi:</w:t>
      </w:r>
      <w:r w:rsidRPr="00B9108C">
        <w:t xml:space="preserve"> Medyaevi İletişim-Serdar Tunçer 212-3519181</w:t>
      </w:r>
    </w:p>
    <w:sectPr w:rsidR="00B9108C" w:rsidRPr="00602271" w:rsidSect="000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77C40"/>
    <w:rsid w:val="00007C04"/>
    <w:rsid w:val="00047333"/>
    <w:rsid w:val="0005435E"/>
    <w:rsid w:val="00101B04"/>
    <w:rsid w:val="00177C40"/>
    <w:rsid w:val="001A5B31"/>
    <w:rsid w:val="00251A0D"/>
    <w:rsid w:val="002A1D8A"/>
    <w:rsid w:val="002D2F23"/>
    <w:rsid w:val="002F053D"/>
    <w:rsid w:val="003034C1"/>
    <w:rsid w:val="00342BBA"/>
    <w:rsid w:val="003F7498"/>
    <w:rsid w:val="00406465"/>
    <w:rsid w:val="004371E0"/>
    <w:rsid w:val="00462B85"/>
    <w:rsid w:val="0046401B"/>
    <w:rsid w:val="00515A4E"/>
    <w:rsid w:val="00602271"/>
    <w:rsid w:val="0060438E"/>
    <w:rsid w:val="00771D2F"/>
    <w:rsid w:val="007B740F"/>
    <w:rsid w:val="007D2C28"/>
    <w:rsid w:val="008115D5"/>
    <w:rsid w:val="00870F6B"/>
    <w:rsid w:val="008C6C9A"/>
    <w:rsid w:val="008D2BF5"/>
    <w:rsid w:val="008F04A0"/>
    <w:rsid w:val="00933F70"/>
    <w:rsid w:val="00934D3B"/>
    <w:rsid w:val="009A2CA1"/>
    <w:rsid w:val="009C07D6"/>
    <w:rsid w:val="00A03806"/>
    <w:rsid w:val="00A107EB"/>
    <w:rsid w:val="00AE7022"/>
    <w:rsid w:val="00B07F9F"/>
    <w:rsid w:val="00B542DC"/>
    <w:rsid w:val="00B9108C"/>
    <w:rsid w:val="00C04642"/>
    <w:rsid w:val="00CC1D83"/>
    <w:rsid w:val="00D068B5"/>
    <w:rsid w:val="00D23ACE"/>
    <w:rsid w:val="00D37998"/>
    <w:rsid w:val="00D451E9"/>
    <w:rsid w:val="00E042E4"/>
    <w:rsid w:val="00ED4927"/>
    <w:rsid w:val="00F007FA"/>
    <w:rsid w:val="00F54E0F"/>
    <w:rsid w:val="00F8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4"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42E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A0D"/>
    <w:rPr>
      <w:rFonts w:ascii="Tahoma" w:eastAsiaTheme="minorEastAsi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A2C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A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2CA1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2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515B-8126-4EAA-81E7-A670800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Kupürün Metni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Kupürün Metni</dc:title>
  <dc:creator>Serdar Tuncer</dc:creator>
  <cp:lastModifiedBy>Sadi Cilingir</cp:lastModifiedBy>
  <cp:revision>6</cp:revision>
  <dcterms:created xsi:type="dcterms:W3CDTF">2014-04-01T14:24:00Z</dcterms:created>
  <dcterms:modified xsi:type="dcterms:W3CDTF">2014-04-06T18:58:00Z</dcterms:modified>
</cp:coreProperties>
</file>