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04D" w:rsidRPr="00523F04" w:rsidRDefault="00111B09">
      <w:pPr>
        <w:widowControl w:val="0"/>
        <w:topLinePunct/>
        <w:autoSpaceDE w:val="0"/>
        <w:autoSpaceDN w:val="0"/>
        <w:spacing w:line="360" w:lineRule="auto"/>
        <w:ind w:left="2160"/>
        <w:rPr>
          <w:rFonts w:asciiTheme="minorHAnsi" w:eastAsia="Times New Roman" w:hAnsiTheme="minorHAnsi" w:cs="Arial"/>
          <w:sz w:val="24"/>
          <w:szCs w:val="24"/>
        </w:rPr>
      </w:pPr>
      <w:r w:rsidRPr="00523F04">
        <w:rPr>
          <w:rFonts w:asciiTheme="minorHAnsi" w:eastAsia="Times New Roman" w:hAnsiTheme="minorHAnsi" w:cs="Arial"/>
          <w:noProof/>
          <w:sz w:val="24"/>
          <w:szCs w:val="24"/>
          <w:lang w:eastAsia="tr-TR"/>
        </w:rPr>
        <w:drawing>
          <wp:anchor distT="0" distB="0" distL="114300" distR="114300" simplePos="0" relativeHeight="251657728" behindDoc="1" locked="0" layoutInCell="1" allowOverlap="1">
            <wp:simplePos x="0" y="0"/>
            <wp:positionH relativeFrom="column">
              <wp:posOffset>-404495</wp:posOffset>
            </wp:positionH>
            <wp:positionV relativeFrom="paragraph">
              <wp:posOffset>-128270</wp:posOffset>
            </wp:positionV>
            <wp:extent cx="2743200" cy="1933575"/>
            <wp:effectExtent l="19050" t="0" r="0" b="0"/>
            <wp:wrapTight wrapText="bothSides">
              <wp:wrapPolygon edited="0">
                <wp:start x="-150" y="0"/>
                <wp:lineTo x="-150" y="21494"/>
                <wp:lineTo x="21600" y="21494"/>
                <wp:lineTo x="21600" y="0"/>
                <wp:lineTo x="-15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43200" cy="1933575"/>
                    </a:xfrm>
                    <a:prstGeom prst="rect">
                      <a:avLst/>
                    </a:prstGeom>
                    <a:noFill/>
                    <a:ln w="9525">
                      <a:noFill/>
                      <a:miter lim="800000"/>
                      <a:headEnd/>
                      <a:tailEnd/>
                    </a:ln>
                  </pic:spPr>
                </pic:pic>
              </a:graphicData>
            </a:graphic>
          </wp:anchor>
        </w:drawing>
      </w:r>
    </w:p>
    <w:p w:rsidR="0081704D" w:rsidRPr="00523F04" w:rsidRDefault="0081704D">
      <w:pPr>
        <w:widowControl w:val="0"/>
        <w:topLinePunct/>
        <w:autoSpaceDE w:val="0"/>
        <w:autoSpaceDN w:val="0"/>
        <w:spacing w:line="360" w:lineRule="auto"/>
        <w:rPr>
          <w:rFonts w:asciiTheme="minorHAnsi" w:eastAsia="Times New Roman" w:hAnsiTheme="minorHAnsi" w:cs="Arial"/>
          <w:sz w:val="24"/>
          <w:szCs w:val="24"/>
        </w:rPr>
      </w:pPr>
    </w:p>
    <w:p w:rsidR="0081704D" w:rsidRPr="00523F04" w:rsidRDefault="0081704D">
      <w:pPr>
        <w:widowControl w:val="0"/>
        <w:topLinePunct/>
        <w:autoSpaceDE w:val="0"/>
        <w:autoSpaceDN w:val="0"/>
        <w:spacing w:line="360" w:lineRule="auto"/>
        <w:rPr>
          <w:rFonts w:asciiTheme="minorHAnsi" w:eastAsia="Times New Roman" w:hAnsiTheme="minorHAnsi" w:cs="Arial"/>
          <w:sz w:val="24"/>
          <w:szCs w:val="24"/>
        </w:rPr>
      </w:pPr>
    </w:p>
    <w:p w:rsidR="00905E67" w:rsidRDefault="00905E67" w:rsidP="00905E67">
      <w:pPr>
        <w:widowControl w:val="0"/>
        <w:topLinePunct/>
        <w:autoSpaceDE w:val="0"/>
        <w:autoSpaceDN w:val="0"/>
        <w:spacing w:line="360" w:lineRule="auto"/>
        <w:rPr>
          <w:rFonts w:asciiTheme="minorHAnsi" w:eastAsia="Times New Roman" w:hAnsiTheme="minorHAnsi" w:cs="Arial"/>
          <w:sz w:val="24"/>
          <w:szCs w:val="24"/>
        </w:rPr>
      </w:pPr>
    </w:p>
    <w:p w:rsidR="0081704D" w:rsidRPr="00523F04" w:rsidRDefault="0051084B" w:rsidP="00905E67">
      <w:pPr>
        <w:widowControl w:val="0"/>
        <w:topLinePunct/>
        <w:autoSpaceDE w:val="0"/>
        <w:autoSpaceDN w:val="0"/>
        <w:spacing w:line="360" w:lineRule="auto"/>
        <w:ind w:left="6372" w:firstLine="708"/>
        <w:rPr>
          <w:rFonts w:asciiTheme="minorHAnsi" w:eastAsia="Times New Roman" w:hAnsiTheme="minorHAnsi" w:cs="Arial"/>
          <w:sz w:val="24"/>
          <w:szCs w:val="24"/>
        </w:rPr>
      </w:pPr>
      <w:r>
        <w:rPr>
          <w:rFonts w:asciiTheme="minorHAnsi" w:eastAsia="Times New Roman" w:hAnsiTheme="minorHAnsi" w:cs="Arial"/>
          <w:sz w:val="24"/>
          <w:szCs w:val="24"/>
        </w:rPr>
        <w:t>05</w:t>
      </w:r>
      <w:r w:rsidR="001B4D9C" w:rsidRPr="00523F04">
        <w:rPr>
          <w:rFonts w:asciiTheme="minorHAnsi" w:eastAsia="Times New Roman" w:hAnsiTheme="minorHAnsi" w:cs="Arial"/>
          <w:sz w:val="24"/>
          <w:szCs w:val="24"/>
        </w:rPr>
        <w:t xml:space="preserve"> Aralık 2012</w:t>
      </w:r>
    </w:p>
    <w:p w:rsidR="0081704D" w:rsidRPr="00905E67" w:rsidRDefault="00510910" w:rsidP="00905E67">
      <w:pPr>
        <w:widowControl w:val="0"/>
        <w:topLinePunct/>
        <w:autoSpaceDE w:val="0"/>
        <w:autoSpaceDN w:val="0"/>
        <w:spacing w:line="240" w:lineRule="auto"/>
        <w:jc w:val="center"/>
        <w:rPr>
          <w:rFonts w:asciiTheme="minorHAnsi" w:eastAsia="Times New Roman" w:hAnsiTheme="minorHAnsi" w:cs="Arial"/>
          <w:b/>
          <w:sz w:val="44"/>
          <w:szCs w:val="44"/>
        </w:rPr>
      </w:pPr>
      <w:r w:rsidRPr="00905E67">
        <w:rPr>
          <w:rFonts w:asciiTheme="minorHAnsi" w:eastAsia="Times New Roman" w:hAnsiTheme="minorHAnsi" w:cs="Arial"/>
          <w:b/>
          <w:sz w:val="44"/>
          <w:szCs w:val="44"/>
        </w:rPr>
        <w:t>2012 “</w:t>
      </w:r>
      <w:r w:rsidR="001B4D9C" w:rsidRPr="00905E67">
        <w:rPr>
          <w:rFonts w:asciiTheme="minorHAnsi" w:eastAsia="Times New Roman" w:hAnsiTheme="minorHAnsi" w:cs="Arial"/>
          <w:b/>
          <w:sz w:val="44"/>
          <w:szCs w:val="44"/>
        </w:rPr>
        <w:t>Türkiye’de Çin Kültür Yılı</w:t>
      </w:r>
      <w:r w:rsidRPr="00905E67">
        <w:rPr>
          <w:rFonts w:asciiTheme="minorHAnsi" w:eastAsia="Times New Roman" w:hAnsiTheme="minorHAnsi" w:cs="Arial"/>
          <w:b/>
          <w:sz w:val="44"/>
          <w:szCs w:val="44"/>
        </w:rPr>
        <w:t>” Muhteşem Kapanış Galasıyla Sona Erdi</w:t>
      </w:r>
    </w:p>
    <w:p w:rsidR="0081704D" w:rsidRPr="00523F04" w:rsidRDefault="001B4D9C">
      <w:pPr>
        <w:widowControl w:val="0"/>
        <w:topLinePunct/>
        <w:autoSpaceDE w:val="0"/>
        <w:autoSpaceDN w:val="0"/>
        <w:jc w:val="center"/>
        <w:rPr>
          <w:rFonts w:asciiTheme="minorHAnsi" w:eastAsia="Times New Roman" w:hAnsiTheme="minorHAnsi" w:cs="Arial"/>
          <w:sz w:val="24"/>
          <w:szCs w:val="24"/>
        </w:rPr>
      </w:pPr>
      <w:r w:rsidRPr="00523F04">
        <w:rPr>
          <w:rFonts w:asciiTheme="minorHAnsi" w:eastAsia="Times New Roman" w:hAnsiTheme="minorHAnsi" w:cs="Arial"/>
          <w:b/>
          <w:sz w:val="24"/>
          <w:szCs w:val="24"/>
        </w:rPr>
        <w:t xml:space="preserve">Çin ve Türkiye arasındaki kültürel bağlantıyı güçlendirmek ve </w:t>
      </w:r>
      <w:r w:rsidRPr="00523F04">
        <w:rPr>
          <w:rFonts w:asciiTheme="minorHAnsi" w:hAnsiTheme="minorHAnsi" w:cs="Tahoma"/>
          <w:sz w:val="24"/>
          <w:szCs w:val="24"/>
        </w:rPr>
        <w:t xml:space="preserve">Stratejik İşbirliği </w:t>
      </w:r>
      <w:r w:rsidRPr="00523F04">
        <w:rPr>
          <w:rFonts w:asciiTheme="minorHAnsi" w:eastAsia="Times New Roman" w:hAnsiTheme="minorHAnsi" w:cs="Arial"/>
          <w:b/>
          <w:sz w:val="24"/>
          <w:szCs w:val="24"/>
        </w:rPr>
        <w:t>ilişkilerini kuvvetlendirmek amacıyla düzenlenen</w:t>
      </w:r>
      <w:r w:rsidR="00510910">
        <w:rPr>
          <w:rFonts w:asciiTheme="minorHAnsi" w:eastAsia="Times New Roman" w:hAnsiTheme="minorHAnsi" w:cs="Arial"/>
          <w:b/>
          <w:sz w:val="24"/>
          <w:szCs w:val="24"/>
        </w:rPr>
        <w:t xml:space="preserve"> </w:t>
      </w:r>
      <w:r w:rsidRPr="00523F04">
        <w:rPr>
          <w:rFonts w:asciiTheme="minorHAnsi" w:eastAsia="Times New Roman" w:hAnsiTheme="minorHAnsi" w:cs="Arial"/>
          <w:b/>
          <w:sz w:val="24"/>
          <w:szCs w:val="24"/>
        </w:rPr>
        <w:t xml:space="preserve">“2012 Türkiye’de Çin Kültür Yılı”, Çin'den gelen en ünlü dans, akrobasi ve ses sanatçılarının büyüleyici gösterileriyle sona erdi. Yıl boyunca düzenlenen 86 proje ve 400 etkinliği 240 bin kişi izledi. 2013’te Çin de Türkiye’yi ağırlamaya hazırlanıyor. </w:t>
      </w:r>
    </w:p>
    <w:p w:rsidR="0081704D" w:rsidRPr="00523F04" w:rsidRDefault="001B4D9C">
      <w:pPr>
        <w:jc w:val="both"/>
        <w:rPr>
          <w:rFonts w:asciiTheme="minorHAnsi" w:hAnsiTheme="minorHAnsi" w:cs="Tahoma"/>
          <w:sz w:val="24"/>
          <w:szCs w:val="24"/>
        </w:rPr>
      </w:pPr>
      <w:r w:rsidRPr="00523F04">
        <w:rPr>
          <w:rFonts w:asciiTheme="minorHAnsi" w:eastAsia="Times New Roman" w:hAnsiTheme="minorHAnsi" w:cs="Arial"/>
          <w:sz w:val="24"/>
          <w:szCs w:val="24"/>
        </w:rPr>
        <w:t xml:space="preserve">Çin ve Türk kültürlerini kaynaştırmak amacıyla, </w:t>
      </w:r>
      <w:r w:rsidRPr="00523F04">
        <w:rPr>
          <w:rFonts w:asciiTheme="minorHAnsi" w:hAnsiTheme="minorHAnsi" w:cs="Arial"/>
          <w:sz w:val="24"/>
          <w:szCs w:val="24"/>
        </w:rPr>
        <w:t>“</w:t>
      </w:r>
      <w:r w:rsidRPr="00523F04">
        <w:rPr>
          <w:rFonts w:asciiTheme="minorHAnsi" w:eastAsia="Times New Roman" w:hAnsiTheme="minorHAnsi" w:cs="Arial"/>
          <w:sz w:val="24"/>
          <w:szCs w:val="24"/>
        </w:rPr>
        <w:t>İpek Yolu’nun Başlangıcı, Büyüleyici Çin</w:t>
      </w:r>
      <w:r w:rsidRPr="00523F04">
        <w:rPr>
          <w:rFonts w:asciiTheme="minorHAnsi" w:hAnsiTheme="minorHAnsi" w:cs="Arial"/>
          <w:sz w:val="24"/>
          <w:szCs w:val="24"/>
        </w:rPr>
        <w:t xml:space="preserve">” </w:t>
      </w:r>
      <w:r w:rsidRPr="00523F04">
        <w:rPr>
          <w:rFonts w:asciiTheme="minorHAnsi" w:eastAsia="Times New Roman" w:hAnsiTheme="minorHAnsi" w:cs="Arial"/>
          <w:sz w:val="24"/>
          <w:szCs w:val="24"/>
        </w:rPr>
        <w:t>temasıyla başlayan “</w:t>
      </w:r>
      <w:r w:rsidRPr="00523F04">
        <w:rPr>
          <w:rFonts w:asciiTheme="minorHAnsi" w:hAnsiTheme="minorHAnsi" w:cs="Tahoma"/>
          <w:sz w:val="24"/>
          <w:szCs w:val="24"/>
        </w:rPr>
        <w:t xml:space="preserve">2012 Türkiye’de Çin Kültür </w:t>
      </w:r>
      <w:r w:rsidR="00510910">
        <w:rPr>
          <w:rFonts w:asciiTheme="minorHAnsi" w:hAnsiTheme="minorHAnsi" w:cs="Tahoma"/>
          <w:sz w:val="24"/>
          <w:szCs w:val="24"/>
        </w:rPr>
        <w:t xml:space="preserve">Yılı”, Ankara Büyük Tiyatro’da </w:t>
      </w:r>
      <w:r w:rsidRPr="00523F04">
        <w:rPr>
          <w:rFonts w:asciiTheme="minorHAnsi" w:hAnsiTheme="minorHAnsi" w:cs="Tahoma"/>
          <w:sz w:val="24"/>
          <w:szCs w:val="24"/>
        </w:rPr>
        <w:t xml:space="preserve">düzenlenen görkemli bir kapanış </w:t>
      </w:r>
      <w:proofErr w:type="gramStart"/>
      <w:r w:rsidRPr="00523F04">
        <w:rPr>
          <w:rFonts w:asciiTheme="minorHAnsi" w:hAnsiTheme="minorHAnsi" w:cs="Tahoma"/>
          <w:sz w:val="24"/>
          <w:szCs w:val="24"/>
        </w:rPr>
        <w:t>galasıyla</w:t>
      </w:r>
      <w:proofErr w:type="gramEnd"/>
      <w:r w:rsidRPr="00523F04">
        <w:rPr>
          <w:rFonts w:asciiTheme="minorHAnsi" w:hAnsiTheme="minorHAnsi" w:cs="Tahoma"/>
          <w:sz w:val="24"/>
          <w:szCs w:val="24"/>
        </w:rPr>
        <w:t xml:space="preserve"> sona erdi. Çin Edebiyatçılar ve Sanatçılar Federasyonu'ndan gelen en ünlü sanatçılar “Tarihi İpek Yolu’ndan Coşkulu Nağmeler” </w:t>
      </w:r>
      <w:proofErr w:type="gramStart"/>
      <w:r w:rsidRPr="00523F04">
        <w:rPr>
          <w:rFonts w:asciiTheme="minorHAnsi" w:hAnsiTheme="minorHAnsi" w:cs="Tahoma"/>
          <w:sz w:val="24"/>
          <w:szCs w:val="24"/>
        </w:rPr>
        <w:t>galasını</w:t>
      </w:r>
      <w:proofErr w:type="gramEnd"/>
      <w:r w:rsidRPr="00523F04">
        <w:rPr>
          <w:rFonts w:asciiTheme="minorHAnsi" w:hAnsiTheme="minorHAnsi" w:cs="Tahoma"/>
          <w:sz w:val="24"/>
          <w:szCs w:val="24"/>
        </w:rPr>
        <w:t xml:space="preserve"> sunarak, akrobasi, şarkı ve dans gösterileriyle izleyicilere büyülü bir gece</w:t>
      </w:r>
      <w:r w:rsidR="00510910">
        <w:rPr>
          <w:rFonts w:asciiTheme="minorHAnsi" w:hAnsiTheme="minorHAnsi" w:cs="Tahoma"/>
          <w:sz w:val="24"/>
          <w:szCs w:val="24"/>
        </w:rPr>
        <w:t xml:space="preserve"> </w:t>
      </w:r>
      <w:r w:rsidRPr="00523F04">
        <w:rPr>
          <w:rFonts w:asciiTheme="minorHAnsi" w:hAnsiTheme="minorHAnsi" w:cs="Tahoma"/>
          <w:sz w:val="24"/>
          <w:szCs w:val="24"/>
        </w:rPr>
        <w:t>yaşattı.</w:t>
      </w:r>
      <w:r w:rsidR="00510910">
        <w:rPr>
          <w:rFonts w:asciiTheme="minorHAnsi" w:hAnsiTheme="minorHAnsi" w:cs="Tahoma"/>
          <w:sz w:val="24"/>
          <w:szCs w:val="24"/>
        </w:rPr>
        <w:t xml:space="preserve"> </w:t>
      </w:r>
      <w:r w:rsidRPr="00523F04">
        <w:rPr>
          <w:rFonts w:asciiTheme="minorHAnsi" w:hAnsiTheme="minorHAnsi" w:cs="Tahoma"/>
          <w:sz w:val="24"/>
          <w:szCs w:val="24"/>
        </w:rPr>
        <w:t xml:space="preserve">Çin Opera ve Dans-Drama Tiyatrosu Folklorik Enstrümanlar Orkestrası, Çin Folklorik Vurmalı ve Telli Çalgılar Grubu, kadın ve erkek usta dansçıların gösterileri, ünlü opera sanatçıları ve akrobatlar, gece boyunca büyük bir coşkuyla izlendi. </w:t>
      </w:r>
    </w:p>
    <w:p w:rsidR="0081704D" w:rsidRPr="00523F04" w:rsidRDefault="001B4D9C">
      <w:pPr>
        <w:jc w:val="both"/>
        <w:rPr>
          <w:rFonts w:asciiTheme="minorHAnsi" w:hAnsiTheme="minorHAnsi" w:cs="Tahoma"/>
          <w:sz w:val="24"/>
          <w:szCs w:val="24"/>
        </w:rPr>
      </w:pPr>
      <w:r w:rsidRPr="00523F04">
        <w:rPr>
          <w:rFonts w:asciiTheme="minorHAnsi" w:hAnsiTheme="minorHAnsi" w:cs="Tahoma"/>
          <w:sz w:val="24"/>
          <w:szCs w:val="24"/>
        </w:rPr>
        <w:t xml:space="preserve">2012 Türkiye’de Çin Kültür Yılı çerçevesinde, Türkiye’nin Ankara, İstanbul, İzmir, Antalya, Gaziantep, Bursa, Samsun, Malatya, Eskişehir, Kayseri, Ordu </w:t>
      </w:r>
      <w:proofErr w:type="gramStart"/>
      <w:r w:rsidRPr="00523F04">
        <w:rPr>
          <w:rFonts w:asciiTheme="minorHAnsi" w:hAnsiTheme="minorHAnsi" w:cs="Tahoma"/>
          <w:sz w:val="24"/>
          <w:szCs w:val="24"/>
        </w:rPr>
        <w:t>dahil</w:t>
      </w:r>
      <w:proofErr w:type="gramEnd"/>
      <w:r w:rsidRPr="00523F04">
        <w:rPr>
          <w:rFonts w:asciiTheme="minorHAnsi" w:hAnsiTheme="minorHAnsi" w:cs="Tahoma"/>
          <w:sz w:val="24"/>
          <w:szCs w:val="24"/>
        </w:rPr>
        <w:t xml:space="preserve"> olmak üzere yaklaşık 40 ilinde kültür, sanat, eğitim, sinema, turizm, kardeş şehirler, kültür mirası, din ve inançlar, senfoni ve opera gibi çeşitli alanlarda etkinlikler düzenlendi. Kültür yılı boyunca Çin'den 1700 sanatçı ve çeşitli heyetlerin üyeleri Türkiye’ye geldi. Yıl boyunca toplam 86 proje ve 400 etkinlik düzenlendi. Etkinliklere toplam 240.000 seyirci katıldı. </w:t>
      </w:r>
    </w:p>
    <w:p w:rsidR="0081704D" w:rsidRPr="00523F04" w:rsidRDefault="001B4D9C">
      <w:pPr>
        <w:widowControl w:val="0"/>
        <w:topLinePunct/>
        <w:autoSpaceDE w:val="0"/>
        <w:autoSpaceDN w:val="0"/>
        <w:jc w:val="both"/>
        <w:rPr>
          <w:rFonts w:asciiTheme="minorHAnsi" w:eastAsia="Times New Roman" w:hAnsiTheme="minorHAnsi" w:cs="Arial"/>
          <w:sz w:val="24"/>
          <w:szCs w:val="24"/>
        </w:rPr>
      </w:pPr>
      <w:proofErr w:type="gramStart"/>
      <w:r w:rsidRPr="00523F04">
        <w:rPr>
          <w:rFonts w:asciiTheme="minorHAnsi" w:eastAsia="Times New Roman" w:hAnsiTheme="minorHAnsi" w:cs="Arial"/>
          <w:sz w:val="24"/>
          <w:szCs w:val="24"/>
        </w:rPr>
        <w:t xml:space="preserve">T.C. Kültür ve Turizm Bakanlığı başta olmak üzere çeşitli bakanlık, belediye, üniversite ve sivil toplum örgütlerinin işbirliğiyle gerçekleştirilen, Türkiye'de bugüne kadar düzenlenen ve Çin kültürünü tanıtan en kapsamlı ve en uzun süreli etkinlik olma özelliğini taşıyan “2012 Türkiye’de Çin Kültür Yılı” köklü tarihlere sahip iki ülkenin birbirini daha çok anlaması ve yakınlaştırması amacıyla düzenlendi. </w:t>
      </w:r>
      <w:proofErr w:type="gramEnd"/>
    </w:p>
    <w:p w:rsidR="0081704D" w:rsidRPr="00523F04" w:rsidRDefault="001B4D9C">
      <w:pPr>
        <w:widowControl w:val="0"/>
        <w:topLinePunct/>
        <w:autoSpaceDE w:val="0"/>
        <w:autoSpaceDN w:val="0"/>
        <w:jc w:val="both"/>
        <w:rPr>
          <w:rFonts w:asciiTheme="minorHAnsi" w:eastAsia="Times New Roman" w:hAnsiTheme="minorHAnsi" w:cs="Arial"/>
          <w:sz w:val="24"/>
          <w:szCs w:val="24"/>
        </w:rPr>
      </w:pPr>
      <w:r w:rsidRPr="00523F04">
        <w:rPr>
          <w:rFonts w:asciiTheme="minorHAnsi" w:eastAsia="Times New Roman" w:hAnsiTheme="minorHAnsi" w:cs="Arial"/>
          <w:sz w:val="24"/>
          <w:szCs w:val="24"/>
        </w:rPr>
        <w:t>Kültür Yılı etkinlikleri sırasında; Kültür Yılı açılış ve kapanış galası, Ocak ve Şubat aylarında “Mutlu Bahar Bayramı</w:t>
      </w:r>
      <w:r w:rsidRPr="00523F04">
        <w:rPr>
          <w:rFonts w:asciiTheme="minorHAnsi" w:hAnsiTheme="minorHAnsi" w:cs="Arial"/>
          <w:sz w:val="24"/>
          <w:szCs w:val="24"/>
        </w:rPr>
        <w:t xml:space="preserve">” </w:t>
      </w:r>
      <w:proofErr w:type="gramStart"/>
      <w:r w:rsidRPr="00523F04">
        <w:rPr>
          <w:rFonts w:asciiTheme="minorHAnsi" w:hAnsiTheme="minorHAnsi" w:cs="Arial"/>
          <w:sz w:val="24"/>
          <w:szCs w:val="24"/>
        </w:rPr>
        <w:t>etkinlikleri</w:t>
      </w:r>
      <w:r w:rsidRPr="00523F04">
        <w:rPr>
          <w:rFonts w:asciiTheme="minorHAnsi" w:eastAsia="Times New Roman" w:hAnsiTheme="minorHAnsi" w:cs="Arial"/>
          <w:sz w:val="24"/>
          <w:szCs w:val="24"/>
        </w:rPr>
        <w:t>,Nisan</w:t>
      </w:r>
      <w:proofErr w:type="gramEnd"/>
      <w:r w:rsidRPr="00523F04">
        <w:rPr>
          <w:rFonts w:asciiTheme="minorHAnsi" w:eastAsia="Times New Roman" w:hAnsiTheme="minorHAnsi" w:cs="Arial"/>
          <w:sz w:val="24"/>
          <w:szCs w:val="24"/>
        </w:rPr>
        <w:t xml:space="preserve"> ayında Çin Film Festivali izleyicilerle buluştu. Mayıs-</w:t>
      </w:r>
      <w:r w:rsidRPr="00523F04">
        <w:rPr>
          <w:rFonts w:asciiTheme="minorHAnsi" w:eastAsia="Times New Roman" w:hAnsiTheme="minorHAnsi" w:cs="Arial"/>
          <w:sz w:val="24"/>
          <w:szCs w:val="24"/>
        </w:rPr>
        <w:lastRenderedPageBreak/>
        <w:t>Temmuz</w:t>
      </w:r>
      <w:r w:rsidR="00510910">
        <w:rPr>
          <w:rFonts w:asciiTheme="minorHAnsi" w:eastAsia="Times New Roman" w:hAnsiTheme="minorHAnsi" w:cs="Arial"/>
          <w:sz w:val="24"/>
          <w:szCs w:val="24"/>
        </w:rPr>
        <w:t xml:space="preserve"> </w:t>
      </w:r>
      <w:r w:rsidRPr="00523F04">
        <w:rPr>
          <w:rFonts w:asciiTheme="minorHAnsi" w:eastAsia="Times New Roman" w:hAnsiTheme="minorHAnsi" w:cs="Arial"/>
          <w:sz w:val="24"/>
          <w:szCs w:val="24"/>
        </w:rPr>
        <w:t xml:space="preserve">aylarında İstanbul Uluslararası Sanat Festivali'nde Çin Günü etkinlikleri yapıldı. Yaz döneminde </w:t>
      </w:r>
      <w:proofErr w:type="spellStart"/>
      <w:r w:rsidRPr="00523F04">
        <w:rPr>
          <w:rFonts w:asciiTheme="minorHAnsi" w:eastAsia="Times New Roman" w:hAnsiTheme="minorHAnsi" w:cs="Arial"/>
          <w:sz w:val="24"/>
          <w:szCs w:val="24"/>
        </w:rPr>
        <w:t>Shenzhen</w:t>
      </w:r>
      <w:proofErr w:type="spellEnd"/>
      <w:r w:rsidRPr="00523F04">
        <w:rPr>
          <w:rFonts w:asciiTheme="minorHAnsi" w:eastAsia="Times New Roman" w:hAnsiTheme="minorHAnsi" w:cs="Arial"/>
          <w:sz w:val="24"/>
          <w:szCs w:val="24"/>
        </w:rPr>
        <w:t xml:space="preserve"> Senfoni Orkestrası ve </w:t>
      </w:r>
      <w:proofErr w:type="spellStart"/>
      <w:r w:rsidRPr="00523F04">
        <w:rPr>
          <w:rFonts w:asciiTheme="minorHAnsi" w:eastAsia="Times New Roman" w:hAnsiTheme="minorHAnsi" w:cs="Arial"/>
          <w:sz w:val="24"/>
          <w:szCs w:val="24"/>
        </w:rPr>
        <w:t>Beijing</w:t>
      </w:r>
      <w:proofErr w:type="spellEnd"/>
      <w:r w:rsidRPr="00523F04">
        <w:rPr>
          <w:rFonts w:asciiTheme="minorHAnsi" w:eastAsia="Times New Roman" w:hAnsiTheme="minorHAnsi" w:cs="Arial"/>
          <w:sz w:val="24"/>
          <w:szCs w:val="24"/>
        </w:rPr>
        <w:t xml:space="preserve"> Senfoni Orkestrası önemli şehirlerde konserler </w:t>
      </w:r>
      <w:proofErr w:type="gramStart"/>
      <w:r w:rsidRPr="00523F04">
        <w:rPr>
          <w:rFonts w:asciiTheme="minorHAnsi" w:eastAsia="Times New Roman" w:hAnsiTheme="minorHAnsi" w:cs="Arial"/>
          <w:sz w:val="24"/>
          <w:szCs w:val="24"/>
        </w:rPr>
        <w:t>düzenlediler.Eylül</w:t>
      </w:r>
      <w:proofErr w:type="gramEnd"/>
      <w:r w:rsidRPr="00523F04">
        <w:rPr>
          <w:rFonts w:asciiTheme="minorHAnsi" w:eastAsia="Times New Roman" w:hAnsiTheme="minorHAnsi" w:cs="Arial"/>
          <w:sz w:val="24"/>
          <w:szCs w:val="24"/>
        </w:rPr>
        <w:t xml:space="preserve"> ayında İstanbul Modern Müzesinde </w:t>
      </w:r>
      <w:r w:rsidRPr="00523F04">
        <w:rPr>
          <w:rFonts w:asciiTheme="minorHAnsi" w:hAnsiTheme="minorHAnsi" w:cs="Arial"/>
          <w:sz w:val="24"/>
          <w:szCs w:val="24"/>
        </w:rPr>
        <w:t>“</w:t>
      </w:r>
      <w:r w:rsidRPr="00523F04">
        <w:rPr>
          <w:rFonts w:asciiTheme="minorHAnsi" w:eastAsia="Times New Roman" w:hAnsiTheme="minorHAnsi" w:cs="Arial"/>
          <w:sz w:val="24"/>
          <w:szCs w:val="24"/>
        </w:rPr>
        <w:t>Çin Modern Sanatlar Sergisi</w:t>
      </w:r>
      <w:r w:rsidRPr="00523F04">
        <w:rPr>
          <w:rFonts w:asciiTheme="minorHAnsi" w:hAnsiTheme="minorHAnsi" w:cs="Arial"/>
          <w:sz w:val="24"/>
          <w:szCs w:val="24"/>
        </w:rPr>
        <w:t xml:space="preserve">” </w:t>
      </w:r>
      <w:r w:rsidRPr="00523F04">
        <w:rPr>
          <w:rFonts w:asciiTheme="minorHAnsi" w:eastAsia="Times New Roman" w:hAnsiTheme="minorHAnsi" w:cs="Arial"/>
          <w:sz w:val="24"/>
          <w:szCs w:val="24"/>
        </w:rPr>
        <w:t xml:space="preserve">ve Kasım ayında Tophane Amire Kültür Merkezinde </w:t>
      </w:r>
      <w:r w:rsidRPr="00523F04">
        <w:rPr>
          <w:rFonts w:asciiTheme="minorHAnsi" w:hAnsiTheme="minorHAnsi" w:cs="Arial"/>
          <w:sz w:val="24"/>
          <w:szCs w:val="24"/>
        </w:rPr>
        <w:t>“</w:t>
      </w:r>
      <w:proofErr w:type="spellStart"/>
      <w:r w:rsidRPr="00523F04">
        <w:rPr>
          <w:rFonts w:asciiTheme="minorHAnsi" w:eastAsia="Times New Roman" w:hAnsiTheme="minorHAnsi" w:cs="Arial"/>
          <w:sz w:val="24"/>
          <w:szCs w:val="24"/>
        </w:rPr>
        <w:t>Dunhuang</w:t>
      </w:r>
      <w:proofErr w:type="spellEnd"/>
      <w:r w:rsidRPr="00523F04">
        <w:rPr>
          <w:rFonts w:asciiTheme="minorHAnsi" w:eastAsia="Times New Roman" w:hAnsiTheme="minorHAnsi" w:cs="Arial"/>
          <w:sz w:val="24"/>
          <w:szCs w:val="24"/>
        </w:rPr>
        <w:t xml:space="preserve"> Mağara Sanatı Duvar Resimleri Sergisi” ve Topkapı Sarayı Has Ahıra salonunda "Çin Hazineleri" sergisi açıldı. Ve bütün yıl boyunca çok sayıda Çin Akrobasi Topluluklar Türkiye çapında gösteri yaptılar.</w:t>
      </w:r>
    </w:p>
    <w:p w:rsidR="0081704D" w:rsidRPr="00523F04" w:rsidRDefault="001B4D9C">
      <w:pPr>
        <w:widowControl w:val="0"/>
        <w:topLinePunct/>
        <w:autoSpaceDE w:val="0"/>
        <w:autoSpaceDN w:val="0"/>
        <w:jc w:val="both"/>
        <w:rPr>
          <w:rFonts w:asciiTheme="minorHAnsi" w:hAnsiTheme="minorHAnsi" w:cs="Arial"/>
          <w:sz w:val="24"/>
          <w:szCs w:val="24"/>
        </w:rPr>
      </w:pPr>
      <w:r w:rsidRPr="00523F04">
        <w:rPr>
          <w:rFonts w:asciiTheme="minorHAnsi" w:hAnsiTheme="minorHAnsi" w:cs="Arial"/>
          <w:sz w:val="24"/>
          <w:szCs w:val="24"/>
        </w:rPr>
        <w:t>2013 yılında da ise Çin, “Türkiye Kültür Yılı” ile Türk kültürüne topraklarında ev sahipliği yapmaya hazırlanıyor.</w:t>
      </w:r>
    </w:p>
    <w:p w:rsidR="002B6FAD" w:rsidRDefault="002B6FAD" w:rsidP="002B6FAD">
      <w:pPr>
        <w:pStyle w:val="western"/>
        <w:spacing w:beforeAutospacing="0" w:after="0"/>
        <w:rPr>
          <w:rFonts w:asciiTheme="minorHAnsi" w:hAnsiTheme="minorHAnsi" w:cstheme="minorHAnsi"/>
        </w:rPr>
      </w:pPr>
    </w:p>
    <w:p w:rsidR="002B6FAD" w:rsidRPr="00995C67" w:rsidRDefault="002B6FAD" w:rsidP="002B6FAD">
      <w:pPr>
        <w:pStyle w:val="ListeParagraf"/>
        <w:autoSpaceDE w:val="0"/>
        <w:autoSpaceDN w:val="0"/>
        <w:adjustRightInd w:val="0"/>
        <w:rPr>
          <w:rFonts w:asciiTheme="minorHAnsi" w:hAnsiTheme="minorHAnsi" w:cstheme="minorHAnsi"/>
          <w:b/>
          <w:bCs/>
          <w:sz w:val="20"/>
          <w:szCs w:val="20"/>
          <w:u w:val="single"/>
        </w:rPr>
      </w:pPr>
      <w:r w:rsidRPr="006B756C">
        <w:rPr>
          <w:rFonts w:asciiTheme="minorHAnsi" w:hAnsiTheme="minorHAnsi" w:cstheme="minorHAnsi"/>
          <w:b/>
          <w:bCs/>
          <w:sz w:val="20"/>
          <w:szCs w:val="20"/>
          <w:u w:val="single"/>
        </w:rPr>
        <w:t>BİLGİ İÇİN</w:t>
      </w:r>
      <w:r w:rsidRPr="00995C67">
        <w:rPr>
          <w:rFonts w:asciiTheme="minorHAnsi" w:hAnsiTheme="minorHAnsi" w:cstheme="minorHAnsi"/>
          <w:b/>
          <w:bCs/>
          <w:sz w:val="20"/>
          <w:szCs w:val="20"/>
        </w:rPr>
        <w:t xml:space="preserve">: </w:t>
      </w:r>
      <w:r w:rsidRPr="007464D1">
        <w:rPr>
          <w:rFonts w:asciiTheme="minorHAnsi" w:hAnsiTheme="minorHAnsi" w:cstheme="minorHAnsi"/>
          <w:bCs/>
          <w:sz w:val="20"/>
          <w:szCs w:val="20"/>
        </w:rPr>
        <w:t>Mese İletişim</w:t>
      </w:r>
      <w:r>
        <w:rPr>
          <w:rFonts w:asciiTheme="minorHAnsi" w:hAnsiTheme="minorHAnsi" w:cstheme="minorHAnsi"/>
          <w:bCs/>
          <w:sz w:val="20"/>
          <w:szCs w:val="20"/>
        </w:rPr>
        <w:t xml:space="preserve"> -</w:t>
      </w:r>
      <w:r w:rsidRPr="007464D1">
        <w:rPr>
          <w:rFonts w:asciiTheme="minorHAnsi" w:hAnsiTheme="minorHAnsi" w:cstheme="minorHAnsi"/>
          <w:sz w:val="20"/>
          <w:szCs w:val="20"/>
        </w:rPr>
        <w:t xml:space="preserve"> Gülten Uğurlu</w:t>
      </w:r>
      <w:r w:rsidRPr="007464D1">
        <w:rPr>
          <w:rFonts w:asciiTheme="minorHAnsi" w:hAnsiTheme="minorHAnsi" w:cstheme="minorHAnsi"/>
          <w:bCs/>
          <w:sz w:val="20"/>
          <w:szCs w:val="20"/>
        </w:rPr>
        <w:t xml:space="preserve"> </w:t>
      </w:r>
      <w:r>
        <w:rPr>
          <w:rFonts w:asciiTheme="minorHAnsi" w:hAnsiTheme="minorHAnsi" w:cstheme="minorHAnsi"/>
          <w:sz w:val="20"/>
          <w:szCs w:val="20"/>
        </w:rPr>
        <w:t>/</w:t>
      </w:r>
      <w:r w:rsidRPr="007464D1">
        <w:rPr>
          <w:rFonts w:asciiTheme="minorHAnsi" w:hAnsiTheme="minorHAnsi" w:cstheme="minorHAnsi"/>
          <w:sz w:val="20"/>
          <w:szCs w:val="20"/>
        </w:rPr>
        <w:t xml:space="preserve"> </w:t>
      </w:r>
      <w:r w:rsidRPr="007464D1">
        <w:rPr>
          <w:rFonts w:asciiTheme="minorHAnsi" w:hAnsiTheme="minorHAnsi" w:cstheme="minorHAnsi"/>
          <w:bCs/>
          <w:sz w:val="20"/>
          <w:szCs w:val="20"/>
        </w:rPr>
        <w:t xml:space="preserve">0212 245 33 23 </w:t>
      </w:r>
      <w:r>
        <w:rPr>
          <w:rFonts w:asciiTheme="minorHAnsi" w:hAnsiTheme="minorHAnsi" w:cstheme="minorHAnsi"/>
          <w:bCs/>
          <w:sz w:val="20"/>
          <w:szCs w:val="20"/>
        </w:rPr>
        <w:t>-</w:t>
      </w:r>
      <w:r>
        <w:rPr>
          <w:rFonts w:asciiTheme="minorHAnsi" w:hAnsiTheme="minorHAnsi" w:cstheme="minorHAnsi"/>
          <w:b/>
          <w:bCs/>
          <w:sz w:val="20"/>
          <w:szCs w:val="20"/>
        </w:rPr>
        <w:t xml:space="preserve"> </w:t>
      </w:r>
      <w:hyperlink r:id="rId5" w:history="1">
        <w:r w:rsidRPr="00995C67">
          <w:rPr>
            <w:rFonts w:asciiTheme="minorHAnsi" w:hAnsiTheme="minorHAnsi" w:cstheme="minorHAnsi"/>
            <w:b/>
            <w:bCs/>
            <w:color w:val="0000FF"/>
            <w:sz w:val="20"/>
            <w:szCs w:val="20"/>
            <w:u w:val="single"/>
          </w:rPr>
          <w:t>gulten@mese.com.tr</w:t>
        </w:r>
      </w:hyperlink>
    </w:p>
    <w:p w:rsidR="0081704D" w:rsidRDefault="0081704D">
      <w:pPr>
        <w:widowControl w:val="0"/>
        <w:topLinePunct/>
        <w:autoSpaceDE w:val="0"/>
        <w:autoSpaceDN w:val="0"/>
        <w:jc w:val="both"/>
        <w:rPr>
          <w:rFonts w:asciiTheme="minorHAnsi" w:hAnsiTheme="minorHAnsi" w:cs="Arial"/>
          <w:sz w:val="24"/>
          <w:szCs w:val="24"/>
        </w:rPr>
      </w:pPr>
    </w:p>
    <w:p w:rsidR="002B6FAD" w:rsidRPr="00523F04" w:rsidRDefault="002B6FAD">
      <w:pPr>
        <w:widowControl w:val="0"/>
        <w:topLinePunct/>
        <w:autoSpaceDE w:val="0"/>
        <w:autoSpaceDN w:val="0"/>
        <w:jc w:val="both"/>
        <w:rPr>
          <w:rFonts w:asciiTheme="minorHAnsi" w:hAnsiTheme="minorHAnsi" w:cs="Arial"/>
          <w:sz w:val="24"/>
          <w:szCs w:val="24"/>
        </w:rPr>
      </w:pPr>
    </w:p>
    <w:p w:rsidR="0081704D" w:rsidRPr="00523F04" w:rsidRDefault="0081704D">
      <w:pPr>
        <w:widowControl w:val="0"/>
        <w:topLinePunct/>
        <w:autoSpaceDE w:val="0"/>
        <w:autoSpaceDN w:val="0"/>
        <w:jc w:val="both"/>
        <w:rPr>
          <w:rFonts w:asciiTheme="minorHAnsi" w:hAnsiTheme="minorHAnsi" w:cs="Arial"/>
          <w:sz w:val="24"/>
          <w:szCs w:val="24"/>
        </w:rPr>
      </w:pPr>
    </w:p>
    <w:p w:rsidR="0081704D" w:rsidRPr="00523F04" w:rsidRDefault="001B4D9C">
      <w:pPr>
        <w:widowControl w:val="0"/>
        <w:topLinePunct/>
        <w:autoSpaceDE w:val="0"/>
        <w:autoSpaceDN w:val="0"/>
        <w:jc w:val="both"/>
        <w:rPr>
          <w:rFonts w:asciiTheme="minorHAnsi" w:eastAsia="Times New Roman" w:hAnsiTheme="minorHAnsi" w:cs="Arial"/>
          <w:sz w:val="24"/>
          <w:szCs w:val="24"/>
        </w:rPr>
      </w:pPr>
      <w:r w:rsidRPr="00523F04">
        <w:rPr>
          <w:rFonts w:asciiTheme="minorHAnsi" w:eastAsia="Times New Roman" w:hAnsiTheme="minorHAnsi" w:cs="Arial"/>
          <w:sz w:val="24"/>
          <w:szCs w:val="24"/>
        </w:rPr>
        <w:t xml:space="preserve"> </w:t>
      </w:r>
    </w:p>
    <w:p w:rsidR="001B4D9C" w:rsidRPr="00523F04" w:rsidRDefault="001B4D9C">
      <w:pPr>
        <w:jc w:val="both"/>
        <w:rPr>
          <w:rFonts w:asciiTheme="minorHAnsi" w:hAnsiTheme="minorHAnsi"/>
          <w:sz w:val="24"/>
          <w:szCs w:val="24"/>
        </w:rPr>
      </w:pPr>
    </w:p>
    <w:sectPr w:rsidR="001B4D9C" w:rsidRPr="00523F04" w:rsidSect="00817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rawingGridHorizontalSpacing w:val="0"/>
  <w:drawingGridVerticalSpacing w:val="0"/>
  <w:doNotShadeFormData/>
  <w:characterSpacingControl w:val="doNotCompress"/>
  <w:doNotValidateAgainstSchema/>
  <w:doNotDemarcateInvalidXml/>
  <w:compat>
    <w:spaceForUL/>
    <w:doNotLeaveBackslashAlone/>
    <w:ulTrailSpace/>
    <w:doNotExpandShiftReturn/>
    <w:useFELayout/>
  </w:compat>
  <w:rsids>
    <w:rsidRoot w:val="00172A27"/>
    <w:rsid w:val="00111B09"/>
    <w:rsid w:val="00172A27"/>
    <w:rsid w:val="001B4D9C"/>
    <w:rsid w:val="002B6FAD"/>
    <w:rsid w:val="0051084B"/>
    <w:rsid w:val="00510910"/>
    <w:rsid w:val="00523F04"/>
    <w:rsid w:val="0081704D"/>
    <w:rsid w:val="00905E67"/>
    <w:rsid w:val="00A60B31"/>
    <w:rsid w:val="00C534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4D"/>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04D"/>
    <w:pPr>
      <w:tabs>
        <w:tab w:val="center" w:pos="4536"/>
        <w:tab w:val="right" w:pos="9072"/>
      </w:tabs>
      <w:spacing w:after="0" w:line="240" w:lineRule="auto"/>
    </w:pPr>
  </w:style>
  <w:style w:type="paragraph" w:styleId="ListeParagraf">
    <w:name w:val="List Paragraph"/>
    <w:basedOn w:val="Normal"/>
    <w:uiPriority w:val="34"/>
    <w:qFormat/>
    <w:rsid w:val="002B6FAD"/>
    <w:pPr>
      <w:ind w:left="720"/>
      <w:contextualSpacing/>
    </w:pPr>
    <w:rPr>
      <w:rFonts w:eastAsia="Times New Roman"/>
    </w:rPr>
  </w:style>
  <w:style w:type="paragraph" w:customStyle="1" w:styleId="western">
    <w:name w:val="western"/>
    <w:basedOn w:val="Normal"/>
    <w:rsid w:val="002B6FAD"/>
    <w:pPr>
      <w:spacing w:before="100" w:beforeAutospacing="1" w:after="115" w:line="240" w:lineRule="auto"/>
    </w:pPr>
    <w:rPr>
      <w:rFonts w:ascii="WenQuanYi Micro Hei" w:eastAsiaTheme="minorHAnsi" w:hAnsi="WenQuanYi Micro Hei"/>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lten@mese.com.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2600</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İpek</dc:title>
  <dc:creator>ipek</dc:creator>
  <cp:lastModifiedBy>ao</cp:lastModifiedBy>
  <cp:revision>8</cp:revision>
  <cp:lastPrinted>1899-12-30T00:00:00Z</cp:lastPrinted>
  <dcterms:created xsi:type="dcterms:W3CDTF">2012-12-03T12:03:00Z</dcterms:created>
  <dcterms:modified xsi:type="dcterms:W3CDTF">2012-12-06T12:11:00Z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