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E2E" w:rsidRDefault="00507E2E" w:rsidP="00507E2E">
      <w:pPr>
        <w:jc w:val="right"/>
        <w:rPr>
          <w:b/>
        </w:rPr>
      </w:pPr>
      <w:r w:rsidRPr="00507E2E">
        <w:rPr>
          <w:b/>
          <w:noProof/>
          <w:lang w:eastAsia="tr-TR"/>
        </w:rPr>
        <w:drawing>
          <wp:inline distT="0" distB="0" distL="0" distR="0">
            <wp:extent cx="1980562" cy="1001410"/>
            <wp:effectExtent l="19050" t="0" r="638" b="0"/>
            <wp:docPr id="4" name="Resim 1" descr="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372" cy="1002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E2E" w:rsidRPr="00B65CAD" w:rsidRDefault="00C61924" w:rsidP="00507E2E">
      <w:pPr>
        <w:rPr>
          <w:b/>
          <w:sz w:val="24"/>
          <w:szCs w:val="24"/>
        </w:rPr>
      </w:pPr>
      <w:r w:rsidRPr="00B65CAD">
        <w:rPr>
          <w:b/>
          <w:sz w:val="24"/>
          <w:szCs w:val="24"/>
        </w:rPr>
        <w:t>03.07</w:t>
      </w:r>
      <w:r w:rsidR="00507E2E" w:rsidRPr="00B65CAD">
        <w:rPr>
          <w:b/>
          <w:sz w:val="24"/>
          <w:szCs w:val="24"/>
        </w:rPr>
        <w:t>.2017</w:t>
      </w:r>
    </w:p>
    <w:p w:rsidR="00507E2E" w:rsidRPr="00B65CAD" w:rsidRDefault="00507E2E" w:rsidP="00507E2E">
      <w:pPr>
        <w:pStyle w:val="AralkYok"/>
        <w:rPr>
          <w:rFonts w:asciiTheme="minorHAnsi" w:hAnsiTheme="minorHAnsi"/>
          <w:b/>
          <w:sz w:val="24"/>
          <w:szCs w:val="24"/>
        </w:rPr>
      </w:pPr>
      <w:r w:rsidRPr="00B65CAD">
        <w:rPr>
          <w:rFonts w:asciiTheme="minorHAnsi" w:hAnsiTheme="minorHAnsi"/>
          <w:b/>
          <w:sz w:val="24"/>
          <w:szCs w:val="24"/>
        </w:rPr>
        <w:t>BASIN BİLDİRİSİ</w:t>
      </w:r>
    </w:p>
    <w:p w:rsidR="00C61924" w:rsidRPr="00B65CAD" w:rsidRDefault="00C61924" w:rsidP="00B65CAD">
      <w:pPr>
        <w:pStyle w:val="AralkYok"/>
      </w:pPr>
    </w:p>
    <w:p w:rsidR="00C61924" w:rsidRPr="00B65CAD" w:rsidRDefault="00C61924" w:rsidP="00C61924">
      <w:pPr>
        <w:rPr>
          <w:b/>
          <w:sz w:val="40"/>
          <w:szCs w:val="40"/>
        </w:rPr>
      </w:pPr>
      <w:r w:rsidRPr="00B65CAD">
        <w:rPr>
          <w:b/>
          <w:sz w:val="40"/>
          <w:szCs w:val="40"/>
        </w:rPr>
        <w:t>SİNEMADA SON 10 YILA RECEP İVEDİK DAMGA VURDU</w:t>
      </w:r>
    </w:p>
    <w:p w:rsidR="00C61924" w:rsidRDefault="00C61924" w:rsidP="00B65CAD">
      <w:pPr>
        <w:pStyle w:val="AralkYok"/>
        <w:rPr>
          <w:sz w:val="24"/>
          <w:szCs w:val="24"/>
        </w:rPr>
      </w:pPr>
      <w:r w:rsidRPr="00B65CAD">
        <w:rPr>
          <w:sz w:val="24"/>
          <w:szCs w:val="24"/>
        </w:rPr>
        <w:t>Medya takibinin öncü kuruluşu</w:t>
      </w:r>
      <w:r w:rsidRPr="00B65CAD">
        <w:rPr>
          <w:b/>
          <w:sz w:val="24"/>
          <w:szCs w:val="24"/>
        </w:rPr>
        <w:t xml:space="preserve"> Ajans Press</w:t>
      </w:r>
      <w:r w:rsidRPr="00B65CAD">
        <w:rPr>
          <w:sz w:val="24"/>
          <w:szCs w:val="24"/>
        </w:rPr>
        <w:t xml:space="preserve"> son on yılın beyaz perde performanslarını inceledi</w:t>
      </w:r>
      <w:r w:rsidRPr="00B65CAD">
        <w:rPr>
          <w:b/>
          <w:sz w:val="24"/>
          <w:szCs w:val="24"/>
        </w:rPr>
        <w:t xml:space="preserve">. Ajans </w:t>
      </w:r>
      <w:proofErr w:type="spellStart"/>
      <w:r w:rsidRPr="00B65CAD">
        <w:rPr>
          <w:b/>
          <w:sz w:val="24"/>
          <w:szCs w:val="24"/>
        </w:rPr>
        <w:t>Press’in</w:t>
      </w:r>
      <w:proofErr w:type="spellEnd"/>
      <w:r w:rsidRPr="00B65CAD">
        <w:rPr>
          <w:sz w:val="24"/>
          <w:szCs w:val="24"/>
        </w:rPr>
        <w:t xml:space="preserve"> Box Office’ten derlediği verilere göre, son on yılda beş defa gişe rekoru kırıp yılın en çok izlenen filmi olan Recep İvedik serisinin beyaz perdeye damga vurduğu öğrenildi.</w:t>
      </w:r>
      <w:r w:rsidR="0080688B" w:rsidRPr="00B65CAD">
        <w:rPr>
          <w:sz w:val="24"/>
          <w:szCs w:val="24"/>
        </w:rPr>
        <w:t xml:space="preserve"> </w:t>
      </w:r>
      <w:r w:rsidRPr="00B65CAD">
        <w:rPr>
          <w:sz w:val="24"/>
          <w:szCs w:val="24"/>
        </w:rPr>
        <w:t>Film son on yıl içerisinde de medyanın gündemine otururken, 2007 yılından itibare</w:t>
      </w:r>
      <w:r w:rsidR="0080688B" w:rsidRPr="00B65CAD">
        <w:rPr>
          <w:sz w:val="24"/>
          <w:szCs w:val="24"/>
        </w:rPr>
        <w:t>n 12.663</w:t>
      </w:r>
      <w:r w:rsidRPr="00B65CAD">
        <w:rPr>
          <w:sz w:val="24"/>
          <w:szCs w:val="24"/>
        </w:rPr>
        <w:t xml:space="preserve"> habere konu oldu. Öte yandan son on yılın sinema incelemesinde yıl yıl en çok izlenen filmler aşağıdaki gibi oldu;</w:t>
      </w:r>
    </w:p>
    <w:p w:rsidR="00B65CAD" w:rsidRPr="00B65CAD" w:rsidRDefault="00B65CAD" w:rsidP="00B65CAD">
      <w:pPr>
        <w:pStyle w:val="AralkYok"/>
        <w:rPr>
          <w:sz w:val="24"/>
          <w:szCs w:val="24"/>
        </w:rPr>
      </w:pPr>
    </w:p>
    <w:tbl>
      <w:tblPr>
        <w:tblW w:w="62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3825"/>
        <w:gridCol w:w="1242"/>
      </w:tblGrid>
      <w:tr w:rsidR="00C61924" w:rsidRPr="007A5AD5" w:rsidTr="00B65CAD">
        <w:trPr>
          <w:trHeight w:val="25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C61924" w:rsidRPr="00B65CAD" w:rsidRDefault="00C61924" w:rsidP="00A86DBD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4"/>
                <w:szCs w:val="24"/>
                <w:lang w:eastAsia="tr-TR"/>
              </w:rPr>
            </w:pPr>
            <w:r w:rsidRPr="00B65CAD">
              <w:rPr>
                <w:rFonts w:eastAsia="Times New Roman" w:cs="Times New Roman"/>
                <w:color w:val="FFFFFF"/>
                <w:sz w:val="24"/>
                <w:szCs w:val="24"/>
                <w:lang w:eastAsia="tr-TR"/>
              </w:rPr>
              <w:t>2007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924" w:rsidRPr="00B65CAD" w:rsidRDefault="00C61924" w:rsidP="00A86D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65CA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MASKELİ BEŞLER: IRAK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924" w:rsidRPr="00B65CAD" w:rsidRDefault="00C61924" w:rsidP="00A86D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65CA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17.450.990</w:t>
            </w:r>
          </w:p>
        </w:tc>
      </w:tr>
      <w:tr w:rsidR="00C61924" w:rsidRPr="007A5AD5" w:rsidTr="00B65CAD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C61924" w:rsidRPr="00B65CAD" w:rsidRDefault="00C61924" w:rsidP="00A86DBD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4"/>
                <w:szCs w:val="24"/>
                <w:lang w:eastAsia="tr-TR"/>
              </w:rPr>
            </w:pPr>
            <w:r w:rsidRPr="00B65CAD">
              <w:rPr>
                <w:rFonts w:eastAsia="Times New Roman" w:cs="Times New Roman"/>
                <w:color w:val="FFFFFF"/>
                <w:sz w:val="24"/>
                <w:szCs w:val="24"/>
                <w:lang w:eastAsia="tr-TR"/>
              </w:rPr>
              <w:t>2008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924" w:rsidRPr="00B65CAD" w:rsidRDefault="00C61924" w:rsidP="00A86D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65CA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RECEP İVEDİK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924" w:rsidRPr="00B65CAD" w:rsidRDefault="00C61924" w:rsidP="00A86D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65CA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18.233.842</w:t>
            </w:r>
          </w:p>
        </w:tc>
      </w:tr>
      <w:tr w:rsidR="00C61924" w:rsidRPr="007A5AD5" w:rsidTr="00B65CAD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C61924" w:rsidRPr="00B65CAD" w:rsidRDefault="00C61924" w:rsidP="00A86DBD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4"/>
                <w:szCs w:val="24"/>
                <w:lang w:eastAsia="tr-TR"/>
              </w:rPr>
            </w:pPr>
            <w:r w:rsidRPr="00B65CAD">
              <w:rPr>
                <w:rFonts w:eastAsia="Times New Roman" w:cs="Times New Roman"/>
                <w:color w:val="FFFFFF"/>
                <w:sz w:val="24"/>
                <w:szCs w:val="24"/>
                <w:lang w:eastAsia="tr-TR"/>
              </w:rPr>
              <w:t>2009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924" w:rsidRPr="00B65CAD" w:rsidRDefault="00C61924" w:rsidP="00A86D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65CA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RECEP İVEDİK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924" w:rsidRPr="00B65CAD" w:rsidRDefault="00C61924" w:rsidP="00A86D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65CA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19.404.494</w:t>
            </w:r>
          </w:p>
        </w:tc>
      </w:tr>
      <w:tr w:rsidR="00C61924" w:rsidRPr="007A5AD5" w:rsidTr="00B65CAD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C61924" w:rsidRPr="00B65CAD" w:rsidRDefault="00C61924" w:rsidP="00A86DBD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4"/>
                <w:szCs w:val="24"/>
                <w:lang w:eastAsia="tr-TR"/>
              </w:rPr>
            </w:pPr>
            <w:r w:rsidRPr="00B65CAD">
              <w:rPr>
                <w:rFonts w:eastAsia="Times New Roman" w:cs="Times New Roman"/>
                <w:color w:val="FFFFFF"/>
                <w:sz w:val="24"/>
                <w:szCs w:val="24"/>
                <w:lang w:eastAsia="tr-TR"/>
              </w:rPr>
              <w:t>2010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924" w:rsidRPr="00B65CAD" w:rsidRDefault="00C61924" w:rsidP="00A86D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65CA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RECEP İVEDİK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924" w:rsidRPr="00B65CAD" w:rsidRDefault="00C61924" w:rsidP="00A86D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65CA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24.047.344</w:t>
            </w:r>
          </w:p>
        </w:tc>
      </w:tr>
      <w:tr w:rsidR="00C61924" w:rsidRPr="007A5AD5" w:rsidTr="00B65CAD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C61924" w:rsidRPr="00B65CAD" w:rsidRDefault="00C61924" w:rsidP="00A86DBD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4"/>
                <w:szCs w:val="24"/>
                <w:lang w:eastAsia="tr-TR"/>
              </w:rPr>
            </w:pPr>
            <w:r w:rsidRPr="00B65CAD">
              <w:rPr>
                <w:rFonts w:eastAsia="Times New Roman" w:cs="Times New Roman"/>
                <w:color w:val="FFFFFF"/>
                <w:sz w:val="24"/>
                <w:szCs w:val="24"/>
                <w:lang w:eastAsia="tr-TR"/>
              </w:rPr>
              <w:t>2011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924" w:rsidRPr="00B65CAD" w:rsidRDefault="00C61924" w:rsidP="00A86D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65CA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EYVAH EYVAH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924" w:rsidRPr="00B65CAD" w:rsidRDefault="00C61924" w:rsidP="00A86D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65CA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22.475.290</w:t>
            </w:r>
          </w:p>
        </w:tc>
      </w:tr>
      <w:tr w:rsidR="00C61924" w:rsidRPr="007A5AD5" w:rsidTr="00B65CAD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C61924" w:rsidRPr="00B65CAD" w:rsidRDefault="00C61924" w:rsidP="00A86DBD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4"/>
                <w:szCs w:val="24"/>
                <w:lang w:eastAsia="tr-TR"/>
              </w:rPr>
            </w:pPr>
            <w:r w:rsidRPr="00B65CAD">
              <w:rPr>
                <w:rFonts w:eastAsia="Times New Roman" w:cs="Times New Roman"/>
                <w:color w:val="FFFFFF"/>
                <w:sz w:val="24"/>
                <w:szCs w:val="24"/>
                <w:lang w:eastAsia="tr-TR"/>
              </w:rPr>
              <w:t>2012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924" w:rsidRPr="00B65CAD" w:rsidRDefault="00C61924" w:rsidP="00A86D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65CA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FETİH 1453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924" w:rsidRPr="00B65CAD" w:rsidRDefault="00C61924" w:rsidP="00A86D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65CA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23.758.826</w:t>
            </w:r>
          </w:p>
        </w:tc>
      </w:tr>
      <w:tr w:rsidR="00C61924" w:rsidRPr="007A5AD5" w:rsidTr="00B65CAD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C61924" w:rsidRPr="00B65CAD" w:rsidRDefault="00C61924" w:rsidP="00A86DBD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4"/>
                <w:szCs w:val="24"/>
                <w:lang w:eastAsia="tr-TR"/>
              </w:rPr>
            </w:pPr>
            <w:r w:rsidRPr="00B65CAD">
              <w:rPr>
                <w:rFonts w:eastAsia="Times New Roman" w:cs="Times New Roman"/>
                <w:color w:val="FFFFFF"/>
                <w:sz w:val="24"/>
                <w:szCs w:val="24"/>
                <w:lang w:eastAsia="tr-TR"/>
              </w:rPr>
              <w:t>2013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924" w:rsidRPr="00B65CAD" w:rsidRDefault="00C61924" w:rsidP="00A86D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65CA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CM 101 MMXI FUNDAMENTALS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924" w:rsidRPr="00B65CAD" w:rsidRDefault="00C61924" w:rsidP="00A86D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65CA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26.942.704</w:t>
            </w:r>
          </w:p>
        </w:tc>
      </w:tr>
      <w:tr w:rsidR="00C61924" w:rsidRPr="007A5AD5" w:rsidTr="00B65CAD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C61924" w:rsidRPr="00B65CAD" w:rsidRDefault="00C61924" w:rsidP="00A86DBD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4"/>
                <w:szCs w:val="24"/>
                <w:lang w:eastAsia="tr-TR"/>
              </w:rPr>
            </w:pPr>
            <w:r w:rsidRPr="00B65CAD">
              <w:rPr>
                <w:rFonts w:eastAsia="Times New Roman" w:cs="Times New Roman"/>
                <w:color w:val="FFFFFF"/>
                <w:sz w:val="24"/>
                <w:szCs w:val="24"/>
                <w:lang w:eastAsia="tr-TR"/>
              </w:rPr>
              <w:t>2014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924" w:rsidRPr="00B65CAD" w:rsidRDefault="00C61924" w:rsidP="00A86D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65CA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RECEP İVEDİK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924" w:rsidRPr="00B65CAD" w:rsidRDefault="00C61924" w:rsidP="00A86D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65CA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32.861.562</w:t>
            </w:r>
          </w:p>
        </w:tc>
      </w:tr>
      <w:tr w:rsidR="00C61924" w:rsidRPr="007A5AD5" w:rsidTr="00B65CAD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C61924" w:rsidRPr="00B65CAD" w:rsidRDefault="00C61924" w:rsidP="00A86DBD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4"/>
                <w:szCs w:val="24"/>
                <w:lang w:eastAsia="tr-TR"/>
              </w:rPr>
            </w:pPr>
            <w:r w:rsidRPr="00B65CAD">
              <w:rPr>
                <w:rFonts w:eastAsia="Times New Roman" w:cs="Times New Roman"/>
                <w:color w:val="FFFFFF"/>
                <w:sz w:val="24"/>
                <w:szCs w:val="24"/>
                <w:lang w:eastAsia="tr-TR"/>
              </w:rPr>
              <w:t>2015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924" w:rsidRPr="00B65CAD" w:rsidRDefault="00C61924" w:rsidP="00A86D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65CA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MUCİZE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924" w:rsidRPr="00B65CAD" w:rsidRDefault="00C61924" w:rsidP="00A86D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65CA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34.612.287</w:t>
            </w:r>
          </w:p>
        </w:tc>
      </w:tr>
      <w:tr w:rsidR="00C61924" w:rsidRPr="007A5AD5" w:rsidTr="00B65CAD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C61924" w:rsidRPr="00B65CAD" w:rsidRDefault="00C61924" w:rsidP="00A86DBD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4"/>
                <w:szCs w:val="24"/>
                <w:lang w:eastAsia="tr-TR"/>
              </w:rPr>
            </w:pPr>
            <w:r w:rsidRPr="00B65CAD">
              <w:rPr>
                <w:rFonts w:eastAsia="Times New Roman" w:cs="Times New Roman"/>
                <w:color w:val="FFFFFF"/>
                <w:sz w:val="24"/>
                <w:szCs w:val="24"/>
                <w:lang w:eastAsia="tr-TR"/>
              </w:rPr>
              <w:t>2016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924" w:rsidRPr="00B65CAD" w:rsidRDefault="00C61924" w:rsidP="00A86D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65CA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KARDEŞİM BENİM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924" w:rsidRPr="00B65CAD" w:rsidRDefault="00C61924" w:rsidP="00A86D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65CA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30.900.194</w:t>
            </w:r>
          </w:p>
        </w:tc>
      </w:tr>
      <w:tr w:rsidR="00C61924" w:rsidRPr="007A5AD5" w:rsidTr="00B65CAD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C61924" w:rsidRPr="00B65CAD" w:rsidRDefault="00C61924" w:rsidP="00A86DBD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4"/>
                <w:szCs w:val="24"/>
                <w:lang w:eastAsia="tr-TR"/>
              </w:rPr>
            </w:pPr>
            <w:r w:rsidRPr="00B65CAD">
              <w:rPr>
                <w:rFonts w:eastAsia="Times New Roman" w:cs="Times New Roman"/>
                <w:color w:val="FFFFFF"/>
                <w:sz w:val="24"/>
                <w:szCs w:val="24"/>
                <w:lang w:eastAsia="tr-TR"/>
              </w:rPr>
              <w:t>2017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924" w:rsidRPr="00B65CAD" w:rsidRDefault="00C61924" w:rsidP="00A86D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65CA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RECEP İVEDİK 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924" w:rsidRPr="00B65CAD" w:rsidRDefault="00C61924" w:rsidP="00A86D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65CA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38.323.478</w:t>
            </w:r>
          </w:p>
        </w:tc>
      </w:tr>
    </w:tbl>
    <w:p w:rsidR="00B65CAD" w:rsidRPr="00B65CAD" w:rsidRDefault="00B65CAD" w:rsidP="00B65CAD">
      <w:pPr>
        <w:pStyle w:val="AralkYok"/>
      </w:pPr>
    </w:p>
    <w:p w:rsidR="0094713B" w:rsidRPr="00B65CAD" w:rsidRDefault="002A5151" w:rsidP="00B65CAD">
      <w:pPr>
        <w:pStyle w:val="AralkYok"/>
        <w:rPr>
          <w:b/>
          <w:sz w:val="24"/>
          <w:szCs w:val="24"/>
        </w:rPr>
      </w:pPr>
      <w:r w:rsidRPr="00B65CAD">
        <w:rPr>
          <w:b/>
          <w:sz w:val="24"/>
          <w:szCs w:val="24"/>
        </w:rPr>
        <w:t>SİNEMA SEYİRCİSİ AZALDI, TİYATROYA İLGİ ARTTI</w:t>
      </w:r>
    </w:p>
    <w:p w:rsidR="00B65CAD" w:rsidRPr="00B65CAD" w:rsidRDefault="00B65CAD" w:rsidP="00B65CAD">
      <w:pPr>
        <w:pStyle w:val="AralkYok"/>
      </w:pPr>
    </w:p>
    <w:p w:rsidR="002A5151" w:rsidRDefault="002A5151" w:rsidP="00B65CAD">
      <w:pPr>
        <w:pStyle w:val="AralkYok"/>
        <w:rPr>
          <w:sz w:val="24"/>
          <w:szCs w:val="24"/>
        </w:rPr>
      </w:pPr>
      <w:r w:rsidRPr="00B65CAD">
        <w:rPr>
          <w:sz w:val="24"/>
          <w:szCs w:val="24"/>
        </w:rPr>
        <w:t xml:space="preserve">Türkiye genelinde sinema seyirci sayısı geçtiğimiz yıl bir önceki yıla göre yüzde3,3 azalarak </w:t>
      </w:r>
      <w:r w:rsidR="002C3DE9" w:rsidRPr="00B65CAD">
        <w:rPr>
          <w:sz w:val="24"/>
          <w:szCs w:val="24"/>
        </w:rPr>
        <w:t>55 milyon 260 bin 600 kişi olurken; t</w:t>
      </w:r>
      <w:r w:rsidRPr="00B65CAD">
        <w:rPr>
          <w:sz w:val="24"/>
          <w:szCs w:val="24"/>
        </w:rPr>
        <w:t>iyatro izle</w:t>
      </w:r>
      <w:r w:rsidR="002C3DE9" w:rsidRPr="00B65CAD">
        <w:rPr>
          <w:sz w:val="24"/>
          <w:szCs w:val="24"/>
        </w:rPr>
        <w:t xml:space="preserve">yici sayısı ise yüzde 2,8 artışa geçerek 6 milyon 16 bin 762 oldu. </w:t>
      </w:r>
    </w:p>
    <w:p w:rsidR="00B65CAD" w:rsidRPr="00B65CAD" w:rsidRDefault="00B65CAD" w:rsidP="00B65CAD">
      <w:pPr>
        <w:pStyle w:val="AralkYok"/>
        <w:rPr>
          <w:sz w:val="24"/>
          <w:szCs w:val="24"/>
        </w:rPr>
      </w:pPr>
    </w:p>
    <w:p w:rsidR="00507E2E" w:rsidRPr="00B65CAD" w:rsidRDefault="002A5151" w:rsidP="00B65CAD">
      <w:pPr>
        <w:pStyle w:val="AralkYok"/>
        <w:rPr>
          <w:sz w:val="24"/>
          <w:szCs w:val="24"/>
        </w:rPr>
      </w:pPr>
      <w:r w:rsidRPr="00B65CAD">
        <w:rPr>
          <w:b/>
          <w:sz w:val="24"/>
          <w:szCs w:val="24"/>
        </w:rPr>
        <w:t>Ajans Press’</w:t>
      </w:r>
      <w:r w:rsidRPr="00B65CAD">
        <w:rPr>
          <w:sz w:val="24"/>
          <w:szCs w:val="24"/>
        </w:rPr>
        <w:t xml:space="preserve">in TÜİK’ten derlediği verilere göre Türkiye’nin sinema ve tiyatro istatistiklerini çıkardı. </w:t>
      </w:r>
      <w:r w:rsidRPr="00B65CAD">
        <w:rPr>
          <w:b/>
          <w:sz w:val="24"/>
          <w:szCs w:val="24"/>
        </w:rPr>
        <w:t>Ajans Press’</w:t>
      </w:r>
      <w:r w:rsidRPr="00B65CAD">
        <w:rPr>
          <w:sz w:val="24"/>
          <w:szCs w:val="24"/>
        </w:rPr>
        <w:t>in edindiği bilgilere göre Türkiye’de sinema salonlarının sayısının geçtiğimiz yıl bir önceki yıla göre artışa geçe</w:t>
      </w:r>
      <w:r w:rsidR="007C6E5E" w:rsidRPr="00B65CAD">
        <w:rPr>
          <w:sz w:val="24"/>
          <w:szCs w:val="24"/>
        </w:rPr>
        <w:t xml:space="preserve">rek 2 bin 483 olduğu belirtilirken aynı dönemde sinema salonlarındaki koltuk sayısının 307 bin 456’ya ulaştığı </w:t>
      </w:r>
      <w:r w:rsidR="00507E2E" w:rsidRPr="00B65CAD">
        <w:rPr>
          <w:sz w:val="24"/>
          <w:szCs w:val="24"/>
        </w:rPr>
        <w:t xml:space="preserve">belirtildi. Yine aynı dönem içerisinde gösterilen film sayısı 53 bin 443 oldu. Bu filmler içerisinde yerli yapımların sayısı 22 bin 642 olurken, 30 bin 801 yabancı yapım gösterime </w:t>
      </w:r>
      <w:r w:rsidR="00797280" w:rsidRPr="00B65CAD">
        <w:rPr>
          <w:sz w:val="24"/>
          <w:szCs w:val="24"/>
        </w:rPr>
        <w:t>girdi. Tiyatro</w:t>
      </w:r>
      <w:r w:rsidR="00507E2E" w:rsidRPr="00B65CAD">
        <w:rPr>
          <w:sz w:val="24"/>
          <w:szCs w:val="24"/>
        </w:rPr>
        <w:t xml:space="preserve"> salonlarında oynanan eserler incelendiğinde ise geçtiğimiz yıl 7 bin 766 eserin izleyiciyle buluştuğu saptandı. </w:t>
      </w:r>
    </w:p>
    <w:p w:rsidR="00A2527B" w:rsidRPr="00B65CAD" w:rsidRDefault="00A2527B" w:rsidP="00B65CAD">
      <w:pPr>
        <w:pStyle w:val="AralkYok"/>
        <w:rPr>
          <w:sz w:val="24"/>
          <w:szCs w:val="24"/>
        </w:rPr>
      </w:pPr>
    </w:p>
    <w:p w:rsidR="00F62DB6" w:rsidRPr="00B65CAD" w:rsidRDefault="00C07118" w:rsidP="00056F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*Daha Fazla bilgi için; </w:t>
      </w:r>
      <w:bookmarkStart w:id="0" w:name="_GoBack"/>
      <w:bookmarkEnd w:id="0"/>
      <w:r w:rsidR="00F62DB6" w:rsidRPr="00B65CAD">
        <w:rPr>
          <w:b/>
          <w:sz w:val="24"/>
          <w:szCs w:val="24"/>
        </w:rPr>
        <w:t xml:space="preserve">AJANS PRESS /  </w:t>
      </w:r>
      <w:hyperlink r:id="rId5" w:history="1">
        <w:r w:rsidR="00F62DB6" w:rsidRPr="00B65CAD">
          <w:rPr>
            <w:rStyle w:val="Kpr"/>
            <w:b/>
            <w:sz w:val="24"/>
            <w:szCs w:val="24"/>
          </w:rPr>
          <w:t>tolga.topcu@ajanspress.com.tr</w:t>
        </w:r>
      </w:hyperlink>
      <w:r w:rsidR="00F62DB6" w:rsidRPr="00B65CAD">
        <w:rPr>
          <w:b/>
          <w:sz w:val="24"/>
          <w:szCs w:val="24"/>
          <w:u w:val="single"/>
        </w:rPr>
        <w:t>/</w:t>
      </w:r>
      <w:r w:rsidR="00F62DB6" w:rsidRPr="00B65CAD">
        <w:rPr>
          <w:b/>
          <w:sz w:val="24"/>
          <w:szCs w:val="24"/>
        </w:rPr>
        <w:t xml:space="preserve">   444 7 212 - 1192</w:t>
      </w:r>
    </w:p>
    <w:sectPr w:rsidR="00F62DB6" w:rsidRPr="00B65CAD" w:rsidSect="00947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5151"/>
    <w:rsid w:val="00056F29"/>
    <w:rsid w:val="002A5151"/>
    <w:rsid w:val="002C3DE9"/>
    <w:rsid w:val="003208F5"/>
    <w:rsid w:val="00507E2E"/>
    <w:rsid w:val="00624374"/>
    <w:rsid w:val="00684AAA"/>
    <w:rsid w:val="00797280"/>
    <w:rsid w:val="007A5AD5"/>
    <w:rsid w:val="007C6E5E"/>
    <w:rsid w:val="0080688B"/>
    <w:rsid w:val="0094713B"/>
    <w:rsid w:val="00A2527B"/>
    <w:rsid w:val="00B65CAD"/>
    <w:rsid w:val="00C07118"/>
    <w:rsid w:val="00C61924"/>
    <w:rsid w:val="00DB446A"/>
    <w:rsid w:val="00DF3B62"/>
    <w:rsid w:val="00E73E3B"/>
    <w:rsid w:val="00F25DDA"/>
    <w:rsid w:val="00F26A72"/>
    <w:rsid w:val="00F6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1B817"/>
  <w15:docId w15:val="{D383F2CB-A720-4D49-BF98-1715EEDD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1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7E2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07E2E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uiPriority w:val="99"/>
    <w:unhideWhenUsed/>
    <w:rsid w:val="00F62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lga.topcu@ajanspress.com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Tolga Topçu</dc:creator>
  <cp:lastModifiedBy>Sadi Cilingir</cp:lastModifiedBy>
  <cp:revision>16</cp:revision>
  <dcterms:created xsi:type="dcterms:W3CDTF">2017-06-29T06:47:00Z</dcterms:created>
  <dcterms:modified xsi:type="dcterms:W3CDTF">2017-07-04T05:42:00Z</dcterms:modified>
</cp:coreProperties>
</file>