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9063" w14:textId="2BFA33D8" w:rsidR="00587681" w:rsidRPr="009A7B0A" w:rsidRDefault="00EC11E9" w:rsidP="00F86DDC">
      <w:pPr>
        <w:spacing w:line="240" w:lineRule="auto"/>
        <w:jc w:val="center"/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</w:pP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Dünyay</w:t>
      </w:r>
      <w:r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ı</w:t>
      </w:r>
      <w:proofErr w:type="spellEnd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Kas</w:t>
      </w:r>
      <w:r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ı</w:t>
      </w:r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p</w:t>
      </w:r>
      <w:proofErr w:type="spellEnd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Kavuran</w:t>
      </w:r>
      <w:proofErr w:type="spellEnd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Oyunun</w:t>
      </w:r>
      <w:proofErr w:type="spellEnd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Türk</w:t>
      </w:r>
      <w:proofErr w:type="spellEnd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Filmi</w:t>
      </w:r>
      <w:proofErr w:type="spellEnd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Uyarlamas</w:t>
      </w:r>
      <w:r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ı</w:t>
      </w:r>
      <w:proofErr w:type="spellEnd"/>
      <w:r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“</w:t>
      </w:r>
      <w:proofErr w:type="spellStart"/>
      <w:proofErr w:type="gram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Tak</w:t>
      </w:r>
      <w:r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ı</w:t>
      </w:r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nt</w:t>
      </w:r>
      <w:r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ı</w:t>
      </w:r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lar”</w:t>
      </w:r>
      <w:r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ı</w:t>
      </w:r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n</w:t>
      </w:r>
      <w:proofErr w:type="spellEnd"/>
      <w:proofErr w:type="gramEnd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Galas</w:t>
      </w:r>
      <w:r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ı</w:t>
      </w:r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na</w:t>
      </w:r>
      <w:proofErr w:type="spellEnd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Büyük</w:t>
      </w:r>
      <w:proofErr w:type="spellEnd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 xml:space="preserve"> </w:t>
      </w:r>
      <w:proofErr w:type="spellStart"/>
      <w:r w:rsidRPr="009A7B0A">
        <w:rPr>
          <w:rFonts w:ascii="Nunito" w:eastAsia="Nunito" w:hAnsi="Nunito" w:cs="Nunito"/>
          <w:b/>
          <w:bCs/>
          <w:color w:val="000000"/>
          <w:sz w:val="36"/>
          <w:szCs w:val="36"/>
          <w:lang w:val="es-ES"/>
        </w:rPr>
        <w:t>İlgi</w:t>
      </w:r>
      <w:proofErr w:type="spellEnd"/>
    </w:p>
    <w:p w14:paraId="60171975" w14:textId="31B9BB18" w:rsidR="00587681" w:rsidRPr="001C09C7" w:rsidRDefault="00000000" w:rsidP="00F86DDC">
      <w:pPr>
        <w:spacing w:line="240" w:lineRule="auto"/>
        <w:jc w:val="center"/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</w:pPr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61.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Uluslararası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Antalya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Altın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Portakal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Film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Festivali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dünya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çapında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milyonlarca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seyirciye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ulaşmış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“TikTok”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oyununun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Türk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filmi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uyarlaması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“</w:t>
      </w:r>
      <w:proofErr w:type="spellStart"/>
      <w:proofErr w:type="gram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Takıntılar”a</w:t>
      </w:r>
      <w:proofErr w:type="spellEnd"/>
      <w:proofErr w:type="gram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ev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sahipliği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yaptı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.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Yoğun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ilgiyle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karşılanan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filmin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galasına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;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yönetmen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Yusuf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Nihat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Özcan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oyuncular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Zafer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Algöz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, Seda Bakan ve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senaryonun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uyarlandığı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metnin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yazarı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Laurant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B</w:t>
      </w:r>
      <w:r w:rsid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a</w:t>
      </w:r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ffie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katıldı</w:t>
      </w:r>
      <w:proofErr w:type="spellEnd"/>
      <w:r w:rsidRPr="001C09C7"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.</w:t>
      </w:r>
    </w:p>
    <w:p w14:paraId="1DDFC14C" w14:textId="106BD6CE" w:rsidR="00587681" w:rsidRDefault="00000000" w:rsidP="00F86DDC">
      <w:pP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Antalya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Büyükşehir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Belediyesi’nce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gerçekleştirilen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61.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Uluslararası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Altın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Portakal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Festivali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hem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dünyanın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sinemasını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hem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dünyanın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sinemacılarını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Antalya’da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buluşturmaya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devam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ediyor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Festival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kapsamında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gala yapan </w:t>
      </w:r>
      <w:r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“</w:t>
      </w:r>
      <w:proofErr w:type="spellStart"/>
      <w:r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Takıntılar</w:t>
      </w:r>
      <w:proofErr w:type="spellEnd"/>
      <w:r>
        <w:rPr>
          <w:rFonts w:ascii="Nunito" w:eastAsia="Nunito" w:hAnsi="Nunito" w:cs="Nunito"/>
          <w:b/>
          <w:bCs/>
          <w:color w:val="000000"/>
          <w:sz w:val="24"/>
          <w:szCs w:val="24"/>
          <w:lang w:val="es-ES"/>
        </w:rPr>
        <w:t>”</w:t>
      </w:r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filmi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ekibi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dün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AKM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Aspendos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salonundaki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gösterimin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ardından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seyircilerin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yoğun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katılım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gösterdiği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film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söyleşisine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katıldı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Yönetmen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Yusuf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Nihat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Özcan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oyuncular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Zafer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Algöz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, Seda Bakan</w:t>
      </w:r>
      <w:r w:rsid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ve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senaryonun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uyarlandığı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metni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kaleme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alan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Fransız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yazar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mizahçı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Laurant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Baffie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seyircilerin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sorularını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cevapladı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</w:p>
    <w:p w14:paraId="3E7F74BA" w14:textId="1E24F485" w:rsidR="001C09C7" w:rsidRPr="001C09C7" w:rsidRDefault="001C09C7" w:rsidP="00F86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“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Sevgili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yazarımız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Laurent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Baffie</w:t>
      </w:r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’ye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minnettarım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”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diyen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Zafer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Algöz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sözlerini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şöyle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açıkladı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:  </w:t>
      </w:r>
    </w:p>
    <w:p w14:paraId="3AADE2F4" w14:textId="18CF2C43" w:rsidR="001C09C7" w:rsidRPr="001C09C7" w:rsidRDefault="001C09C7" w:rsidP="00F86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“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Genelde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filmlerde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biliyorsunuz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başrol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-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orta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rol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kavramı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vardır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fakat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burada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yapmış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olduğu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matematik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o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kadar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güzel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ki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iyi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cast’ta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her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oyuncunun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kendi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marifetini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gösterebileceği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alan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yaratmış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zevk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alarak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çalıştığımız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text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Bazı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textler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vardır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;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oyuncu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olarak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elinden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geleni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yaparsın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ama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hep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derler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ki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‘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abi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senaryo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biraz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zayıftı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ya’. Burada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güzel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senaryo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var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üzerine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iyi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oynayabilecek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proofErr w:type="gram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oyuncuları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bulduktan</w:t>
      </w:r>
      <w:proofErr w:type="spellEnd"/>
      <w:proofErr w:type="gram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sonra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ortaya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gurur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duymamız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gereken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iş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çıkmış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” </w:t>
      </w:r>
    </w:p>
    <w:p w14:paraId="3BE88D3F" w14:textId="53D37C0E" w:rsidR="001C09C7" w:rsidRPr="001C09C7" w:rsidRDefault="001C09C7" w:rsidP="00F86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Algöz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hikaye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hakkında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ise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şu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değerlendirmede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bulundu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: </w:t>
      </w:r>
    </w:p>
    <w:p w14:paraId="637F8539" w14:textId="77777777" w:rsidR="001C09C7" w:rsidRPr="001C09C7" w:rsidRDefault="001C09C7" w:rsidP="00F86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“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Buradaki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karakterler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evrensel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;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Türk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veya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Fransız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olması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hiç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fark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etmez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Şöyle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geri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çekilip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kendimize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baktığımızda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hepimizin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takıntıları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saplantıları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var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Yeter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ki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bunların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farkında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olup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ona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göre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davranış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biçimleri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geliştirilsin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Hatta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yardıma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ihtiyacı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olanlara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yardım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etmek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bence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en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güzeli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”</w:t>
      </w:r>
    </w:p>
    <w:p w14:paraId="2E26C5A8" w14:textId="116FE5B3" w:rsidR="001C09C7" w:rsidRPr="001C09C7" w:rsidRDefault="001C09C7" w:rsidP="00F86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Oyuncu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sözlerini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“Son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olarak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; </w:t>
      </w:r>
      <w:proofErr w:type="gram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bu</w:t>
      </w:r>
      <w:r w:rsidR="00B163AF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ülkede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artık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bebeklerin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çocukların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kadınların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yaşlıların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hayvanların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ağaçların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hür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hakkı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var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!</w:t>
      </w:r>
      <w:proofErr w:type="gram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Biz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babalarımızdan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böyle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eğitim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aldık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”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diye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noktaladı</w:t>
      </w:r>
      <w:proofErr w:type="spellEnd"/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</w:p>
    <w:p w14:paraId="2C0754E8" w14:textId="4FF60D2E" w:rsidR="00587681" w:rsidRDefault="001C09C7" w:rsidP="00F86DDC">
      <w:pP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lastRenderedPageBreak/>
        <w:t>Daha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sonra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söz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alan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r w:rsidRPr="001C09C7">
        <w:rPr>
          <w:rFonts w:ascii="Nunito" w:eastAsia="Nunito" w:hAnsi="Nunito" w:cs="Nunito"/>
          <w:color w:val="000000"/>
          <w:sz w:val="24"/>
          <w:szCs w:val="24"/>
          <w:lang w:val="es-ES"/>
        </w:rPr>
        <w:t>Laurent</w:t>
      </w:r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Baffie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filmin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uyarlandığı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“TikTok”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adlı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oyunu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hakkında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bilgi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verdi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filmi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başarılı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bulduğunu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belirtti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: </w:t>
      </w:r>
    </w:p>
    <w:p w14:paraId="30510905" w14:textId="1C8336FB" w:rsidR="00587681" w:rsidRDefault="00000000" w:rsidP="00F86DDC">
      <w:pP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“Bu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oyunu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20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yıl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önce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yazdım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dünyada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40’tan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fazla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ülkede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yayınlandı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5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milyon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izleyiciye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ulaştı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İspanya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Güney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Kore’de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filmleri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yapıldı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ama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henüz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görmedim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Bu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filmi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de bu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akşam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ilk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kez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burada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izledim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beğendim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Oyunculukları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yönetmeni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; </w:t>
      </w:r>
      <w:proofErr w:type="spellStart"/>
      <w:proofErr w:type="gram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her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şeyi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!</w:t>
      </w:r>
      <w:proofErr w:type="gram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Çünkü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bu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hikayede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uyulması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gereken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üç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kurala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güzel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uyum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sağlamışlar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: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Durumun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komikliği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,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sorunları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olan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insanlarla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hiç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dalga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geçilmemesi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ve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ötekini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kabullenme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” </w:t>
      </w:r>
    </w:p>
    <w:p w14:paraId="2FD3DC42" w14:textId="77777777" w:rsidR="00587681" w:rsidRDefault="00000000" w:rsidP="00F86DDC">
      <w:pPr>
        <w:spacing w:line="240" w:lineRule="auto"/>
        <w:jc w:val="both"/>
        <w:rPr>
          <w:rFonts w:ascii="Nunito" w:eastAsia="Nunito" w:hAnsi="Nunito" w:cs="Nunito"/>
          <w:color w:val="000000"/>
          <w:sz w:val="24"/>
          <w:szCs w:val="24"/>
          <w:lang w:val="es-ES"/>
        </w:rPr>
      </w:pPr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Seda Bakan da “Tek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mekanda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tiyatro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oyununun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bu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kadar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başarılı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bir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ritm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tutturması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beni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çok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etkiledi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”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diyerek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yönetmene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teşekkür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>etti</w:t>
      </w:r>
      <w:proofErr w:type="spellEnd"/>
      <w:r>
        <w:rPr>
          <w:rFonts w:ascii="Nunito" w:eastAsia="Nunito" w:hAnsi="Nunito" w:cs="Nunito"/>
          <w:color w:val="000000"/>
          <w:sz w:val="24"/>
          <w:szCs w:val="24"/>
          <w:lang w:val="es-ES"/>
        </w:rPr>
        <w:t xml:space="preserve">. </w:t>
      </w:r>
    </w:p>
    <w:p w14:paraId="7F230975" w14:textId="0A164F44" w:rsidR="00587681" w:rsidRPr="00F86DDC" w:rsidRDefault="00F86DDC" w:rsidP="00F86DDC">
      <w:pPr>
        <w:pStyle w:val="AralkYok"/>
        <w:jc w:val="center"/>
        <w:rPr>
          <w:rFonts w:ascii="Nunito" w:hAnsi="Nunito"/>
          <w:color w:val="4F81BD" w:themeColor="accent1"/>
          <w:lang w:val="tr-TR"/>
        </w:rPr>
      </w:pPr>
      <w:hyperlink r:id="rId7" w:history="1">
        <w:r w:rsidRPr="00F86DDC">
          <w:rPr>
            <w:rStyle w:val="Kpr"/>
            <w:rFonts w:ascii="Nunito" w:eastAsia="Nunito" w:hAnsi="Nunito" w:cs="Nunito"/>
            <w:color w:val="4F81BD" w:themeColor="accent1"/>
            <w:lang w:val="tr-TR"/>
          </w:rPr>
          <w:t>https://antalyaff.com/tr/</w:t>
        </w:r>
      </w:hyperlink>
    </w:p>
    <w:p w14:paraId="7F18D45E" w14:textId="77777777" w:rsidR="00F86DDC" w:rsidRPr="00F86DDC" w:rsidRDefault="00F86DDC" w:rsidP="00F86DDC">
      <w:pPr>
        <w:pStyle w:val="AralkYok"/>
        <w:jc w:val="center"/>
        <w:rPr>
          <w:rFonts w:ascii="Nunito" w:hAnsi="Nunito"/>
          <w:color w:val="000000"/>
          <w:lang w:val="es-ES"/>
        </w:rPr>
      </w:pPr>
    </w:p>
    <w:p w14:paraId="7E2ECB4E" w14:textId="77777777" w:rsidR="00587681" w:rsidRPr="00F86DDC" w:rsidRDefault="00000000" w:rsidP="00F86DDC">
      <w:pPr>
        <w:pStyle w:val="AralkYok"/>
        <w:rPr>
          <w:rFonts w:ascii="Nunito" w:hAnsi="Nunito"/>
          <w:color w:val="96607D"/>
          <w:lang w:val="es-ES"/>
        </w:rPr>
      </w:pPr>
      <w:proofErr w:type="spellStart"/>
      <w:r w:rsidRPr="00F86DDC">
        <w:rPr>
          <w:rFonts w:ascii="Nunito" w:hAnsi="Nunito"/>
          <w:b/>
          <w:bCs/>
          <w:color w:val="000000"/>
          <w:u w:val="single"/>
          <w:lang w:val="es-ES"/>
        </w:rPr>
        <w:t>Detaylı</w:t>
      </w:r>
      <w:proofErr w:type="spellEnd"/>
      <w:r w:rsidRPr="00F86DDC">
        <w:rPr>
          <w:rFonts w:ascii="Nunito" w:hAnsi="Nunito"/>
          <w:b/>
          <w:bCs/>
          <w:color w:val="000000"/>
          <w:u w:val="single"/>
          <w:lang w:val="es-ES"/>
        </w:rPr>
        <w:t xml:space="preserve"> </w:t>
      </w:r>
      <w:proofErr w:type="spellStart"/>
      <w:r w:rsidRPr="00F86DDC">
        <w:rPr>
          <w:rFonts w:ascii="Nunito" w:hAnsi="Nunito"/>
          <w:b/>
          <w:bCs/>
          <w:color w:val="000000"/>
          <w:u w:val="single"/>
          <w:lang w:val="es-ES"/>
        </w:rPr>
        <w:t>Bilgi</w:t>
      </w:r>
      <w:proofErr w:type="spellEnd"/>
      <w:r w:rsidRPr="00F86DDC">
        <w:rPr>
          <w:rFonts w:ascii="Nunito" w:hAnsi="Nunito"/>
          <w:b/>
          <w:bCs/>
          <w:color w:val="000000"/>
          <w:u w:val="single"/>
          <w:lang w:val="es-ES"/>
        </w:rPr>
        <w:t xml:space="preserve"> ve </w:t>
      </w:r>
      <w:proofErr w:type="spellStart"/>
      <w:r w:rsidRPr="00F86DDC">
        <w:rPr>
          <w:rFonts w:ascii="Nunito" w:hAnsi="Nunito"/>
          <w:b/>
          <w:bCs/>
          <w:color w:val="000000"/>
          <w:u w:val="single"/>
          <w:lang w:val="es-ES"/>
        </w:rPr>
        <w:t>Görsel</w:t>
      </w:r>
      <w:proofErr w:type="spellEnd"/>
      <w:r w:rsidRPr="00F86DDC">
        <w:rPr>
          <w:rFonts w:ascii="Nunito" w:hAnsi="Nunito"/>
          <w:b/>
          <w:bCs/>
          <w:color w:val="000000"/>
          <w:lang w:val="es-ES"/>
        </w:rPr>
        <w:t> </w:t>
      </w:r>
      <w:proofErr w:type="spellStart"/>
      <w:r w:rsidRPr="00F86DDC">
        <w:rPr>
          <w:rFonts w:ascii="Nunito" w:hAnsi="Nunito"/>
          <w:b/>
          <w:bCs/>
          <w:color w:val="000000"/>
          <w:u w:val="single"/>
          <w:lang w:val="es-ES"/>
        </w:rPr>
        <w:t>İçin</w:t>
      </w:r>
      <w:proofErr w:type="spellEnd"/>
      <w:r w:rsidRPr="00F86DDC">
        <w:rPr>
          <w:rFonts w:ascii="Nunito" w:hAnsi="Nunito"/>
          <w:b/>
          <w:bCs/>
          <w:color w:val="000000"/>
          <w:u w:val="single"/>
          <w:lang w:val="es-ES"/>
        </w:rPr>
        <w:t>:</w:t>
      </w:r>
      <w:r w:rsidRPr="00F86DDC">
        <w:rPr>
          <w:rFonts w:ascii="Nunito" w:hAnsi="Nunito"/>
          <w:b/>
          <w:bCs/>
          <w:color w:val="000000"/>
          <w:lang w:val="es-ES"/>
        </w:rPr>
        <w:t> </w:t>
      </w:r>
    </w:p>
    <w:p w14:paraId="643A6EA3" w14:textId="77777777" w:rsidR="00587681" w:rsidRPr="00F86DDC" w:rsidRDefault="00000000" w:rsidP="00F86DDC">
      <w:pPr>
        <w:pStyle w:val="AralkYok"/>
        <w:rPr>
          <w:rFonts w:ascii="Nunito" w:hAnsi="Nunito"/>
          <w:color w:val="96607D"/>
        </w:rPr>
      </w:pPr>
      <w:r w:rsidRPr="00F86DDC">
        <w:rPr>
          <w:rFonts w:ascii="Nunito" w:hAnsi="Nunito"/>
          <w:color w:val="000000"/>
        </w:rPr>
        <w:t xml:space="preserve">Batuhan </w:t>
      </w:r>
      <w:proofErr w:type="spellStart"/>
      <w:r w:rsidRPr="00F86DDC">
        <w:rPr>
          <w:rFonts w:ascii="Nunito" w:hAnsi="Nunito"/>
          <w:color w:val="000000"/>
        </w:rPr>
        <w:t>Zümrüt</w:t>
      </w:r>
      <w:proofErr w:type="spellEnd"/>
      <w:proofErr w:type="gramStart"/>
      <w:r w:rsidRPr="00F86DDC">
        <w:rPr>
          <w:rFonts w:ascii="Nunito" w:hAnsi="Nunito"/>
          <w:color w:val="000000"/>
        </w:rPr>
        <w:t>-  0532</w:t>
      </w:r>
      <w:proofErr w:type="gramEnd"/>
      <w:r w:rsidRPr="00F86DDC">
        <w:rPr>
          <w:rFonts w:ascii="Nunito" w:hAnsi="Nunito"/>
          <w:color w:val="000000"/>
        </w:rPr>
        <w:t xml:space="preserve"> 476 13 29</w:t>
      </w:r>
    </w:p>
    <w:p w14:paraId="30B3546F" w14:textId="77777777" w:rsidR="00587681" w:rsidRPr="00F86DDC" w:rsidRDefault="00587681" w:rsidP="00F86DDC">
      <w:pPr>
        <w:pStyle w:val="AralkYok"/>
        <w:rPr>
          <w:rFonts w:ascii="Nunito" w:hAnsi="Nunito"/>
          <w:color w:val="4F81BD" w:themeColor="accent1"/>
        </w:rPr>
      </w:pPr>
      <w:hyperlink r:id="rId8" w:history="1">
        <w:r w:rsidRPr="00F86DDC">
          <w:rPr>
            <w:rStyle w:val="Kpr"/>
            <w:rFonts w:ascii="Nunito" w:eastAsia="Nunito" w:hAnsi="Nunito" w:cs="Nunito"/>
            <w:color w:val="4F81BD" w:themeColor="accent1"/>
          </w:rPr>
          <w:t>batuhanzumrut@antalyaff.com</w:t>
        </w:r>
      </w:hyperlink>
    </w:p>
    <w:p w14:paraId="1FE5E0C1" w14:textId="77777777" w:rsidR="00587681" w:rsidRPr="00F86DDC" w:rsidRDefault="00587681" w:rsidP="00F86DDC">
      <w:pPr>
        <w:pStyle w:val="AralkYok"/>
        <w:rPr>
          <w:rFonts w:ascii="Nunito" w:hAnsi="Nunito"/>
          <w:b/>
          <w:bCs/>
        </w:rPr>
      </w:pPr>
    </w:p>
    <w:sectPr w:rsidR="00587681" w:rsidRPr="00F86DDC">
      <w:headerReference w:type="default" r:id="rId9"/>
      <w:footerReference w:type="default" r:id="rId10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4AB2" w14:textId="77777777" w:rsidR="00654FC6" w:rsidRDefault="00654FC6">
      <w:pPr>
        <w:spacing w:after="0" w:line="240" w:lineRule="auto"/>
      </w:pPr>
      <w:r>
        <w:separator/>
      </w:r>
    </w:p>
  </w:endnote>
  <w:endnote w:type="continuationSeparator" w:id="0">
    <w:p w14:paraId="481A2FE2" w14:textId="77777777" w:rsidR="00654FC6" w:rsidRDefault="0065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476E" w14:textId="77777777" w:rsidR="00587681" w:rsidRDefault="00000000">
    <w:pPr>
      <w:pStyle w:val="AltBilgi"/>
      <w:jc w:val="right"/>
    </w:pPr>
    <w:r>
      <w:rPr>
        <w:noProof/>
      </w:rPr>
      <w:drawing>
        <wp:inline distT="0" distB="0" distL="0" distR="0" wp14:anchorId="25E10134" wp14:editId="43F7FECF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WWI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FF6C" w14:textId="77777777" w:rsidR="00654FC6" w:rsidRDefault="00654FC6">
      <w:pPr>
        <w:spacing w:after="0" w:line="240" w:lineRule="auto"/>
      </w:pPr>
      <w:r>
        <w:separator/>
      </w:r>
    </w:p>
  </w:footnote>
  <w:footnote w:type="continuationSeparator" w:id="0">
    <w:p w14:paraId="4C82EE7B" w14:textId="77777777" w:rsidR="00654FC6" w:rsidRDefault="0065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1A89" w14:textId="77777777" w:rsidR="00587681" w:rsidRDefault="00000000">
    <w:pPr>
      <w:pStyle w:val="stBilgi"/>
    </w:pPr>
    <w:r>
      <w:rPr>
        <w:noProof/>
      </w:rPr>
      <w:drawing>
        <wp:inline distT="0" distB="0" distL="0" distR="0" wp14:anchorId="7AC48546" wp14:editId="6039D659">
          <wp:extent cx="126682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WWIG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729F9"/>
    <w:multiLevelType w:val="hybridMultilevel"/>
    <w:tmpl w:val="BFAA8A0A"/>
    <w:lvl w:ilvl="0" w:tplc="3F782F3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3D4E4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EE65CD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880C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A9EB6A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6CCBA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2AC9F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3888B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C88B4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8554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81"/>
    <w:rsid w:val="0002189F"/>
    <w:rsid w:val="001C09C7"/>
    <w:rsid w:val="00557D5E"/>
    <w:rsid w:val="00587681"/>
    <w:rsid w:val="005934CB"/>
    <w:rsid w:val="00654FC6"/>
    <w:rsid w:val="00866106"/>
    <w:rsid w:val="008A7B2F"/>
    <w:rsid w:val="009A7B0A"/>
    <w:rsid w:val="00B163AF"/>
    <w:rsid w:val="00E07914"/>
    <w:rsid w:val="00E129D3"/>
    <w:rsid w:val="00EC11E9"/>
    <w:rsid w:val="00F86DDC"/>
    <w:rsid w:val="00F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D5F6"/>
  <w15:docId w15:val="{4911E2CF-1A04-B140-B1CC-3E8B5AD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F86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alyaff.com/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6</cp:revision>
  <dcterms:created xsi:type="dcterms:W3CDTF">2024-10-09T16:42:00Z</dcterms:created>
  <dcterms:modified xsi:type="dcterms:W3CDTF">2024-10-10T04:37:00Z</dcterms:modified>
</cp:coreProperties>
</file>