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A86" w:rsidRPr="00564A86" w:rsidRDefault="00564A86" w:rsidP="00564A86">
      <w:pPr>
        <w:spacing w:after="150" w:line="312" w:lineRule="atLeast"/>
        <w:outlineLvl w:val="0"/>
        <w:rPr>
          <w:rFonts w:ascii="Arial" w:eastAsia="Times New Roman" w:hAnsi="Arial" w:cs="Arial"/>
          <w:b/>
          <w:bCs/>
          <w:kern w:val="36"/>
          <w:sz w:val="40"/>
          <w:szCs w:val="40"/>
          <w:lang w:eastAsia="tr-TR"/>
        </w:rPr>
      </w:pPr>
      <w:r w:rsidRPr="00564A86">
        <w:rPr>
          <w:rFonts w:ascii="Arial" w:eastAsia="Times New Roman" w:hAnsi="Arial" w:cs="Arial"/>
          <w:b/>
          <w:bCs/>
          <w:kern w:val="36"/>
          <w:sz w:val="40"/>
          <w:szCs w:val="40"/>
          <w:lang w:eastAsia="tr-TR"/>
        </w:rPr>
        <w:t>9. Uluslararası Suç ve Ceza Film Festivali Akademik Programı Konusu: Sanal Dünyada Adalet</w:t>
      </w:r>
    </w:p>
    <w:p w:rsidR="00564A86" w:rsidRPr="00564A86" w:rsidRDefault="00564A86" w:rsidP="00564A86">
      <w:pPr>
        <w:pStyle w:val="AralkYok"/>
        <w:rPr>
          <w:sz w:val="24"/>
          <w:szCs w:val="24"/>
          <w:lang w:eastAsia="tr-TR"/>
        </w:rPr>
      </w:pPr>
    </w:p>
    <w:p w:rsidR="00564A86" w:rsidRPr="00564A86" w:rsidRDefault="00564A86" w:rsidP="00564A86">
      <w:pPr>
        <w:spacing w:after="300" w:line="240" w:lineRule="auto"/>
        <w:rPr>
          <w:rFonts w:ascii="Arial" w:eastAsia="Times New Roman" w:hAnsi="Arial" w:cs="Arial"/>
          <w:sz w:val="24"/>
          <w:szCs w:val="24"/>
          <w:lang w:eastAsia="tr-TR"/>
        </w:rPr>
      </w:pPr>
      <w:bookmarkStart w:id="0" w:name="_GoBack"/>
      <w:r w:rsidRPr="00564A86">
        <w:rPr>
          <w:rFonts w:ascii="Arial" w:eastAsia="Times New Roman" w:hAnsi="Arial" w:cs="Arial"/>
          <w:sz w:val="24"/>
          <w:szCs w:val="24"/>
          <w:lang w:eastAsia="tr-TR"/>
        </w:rPr>
        <w:t>İstanbul Üniversitesi Hukuk Fakültesi tarafından </w:t>
      </w:r>
      <w:r w:rsidRPr="00564A86">
        <w:rPr>
          <w:rFonts w:ascii="Arial" w:eastAsia="Times New Roman" w:hAnsi="Arial" w:cs="Arial"/>
          <w:b/>
          <w:bCs/>
          <w:sz w:val="24"/>
          <w:szCs w:val="24"/>
          <w:lang w:eastAsia="tr-TR"/>
        </w:rPr>
        <w:t>“Herkes İçin Adalet”</w:t>
      </w:r>
      <w:r w:rsidRPr="00564A86">
        <w:rPr>
          <w:rFonts w:ascii="Arial" w:eastAsia="Times New Roman" w:hAnsi="Arial" w:cs="Arial"/>
          <w:sz w:val="24"/>
          <w:szCs w:val="24"/>
          <w:lang w:eastAsia="tr-TR"/>
        </w:rPr>
        <w:t> düşüncesi ile 2011 yılında yaşama geçirdiğimiz </w:t>
      </w:r>
      <w:r w:rsidRPr="00564A86">
        <w:rPr>
          <w:rFonts w:ascii="Arial" w:eastAsia="Times New Roman" w:hAnsi="Arial" w:cs="Arial"/>
          <w:b/>
          <w:bCs/>
          <w:sz w:val="24"/>
          <w:szCs w:val="24"/>
          <w:lang w:eastAsia="tr-TR"/>
        </w:rPr>
        <w:t>Uluslararası Suç ve Ceza Film Festivali’</w:t>
      </w:r>
      <w:r w:rsidRPr="00564A86">
        <w:rPr>
          <w:rFonts w:ascii="Arial" w:eastAsia="Times New Roman" w:hAnsi="Arial" w:cs="Arial"/>
          <w:sz w:val="24"/>
          <w:szCs w:val="24"/>
          <w:lang w:eastAsia="tr-TR"/>
        </w:rPr>
        <w:t>nin dokuzuncusu </w:t>
      </w:r>
      <w:r w:rsidRPr="00564A86">
        <w:rPr>
          <w:rFonts w:ascii="Arial" w:eastAsia="Times New Roman" w:hAnsi="Arial" w:cs="Arial"/>
          <w:b/>
          <w:bCs/>
          <w:sz w:val="24"/>
          <w:szCs w:val="24"/>
          <w:lang w:eastAsia="tr-TR"/>
        </w:rPr>
        <w:t>22 – 28 Kasım 2019</w:t>
      </w:r>
      <w:r w:rsidRPr="00564A86">
        <w:rPr>
          <w:rFonts w:ascii="Arial" w:eastAsia="Times New Roman" w:hAnsi="Arial" w:cs="Arial"/>
          <w:sz w:val="24"/>
          <w:szCs w:val="24"/>
          <w:lang w:eastAsia="tr-TR"/>
        </w:rPr>
        <w:t> tarihleri arasında İstanbul’da düzenlenecektir.</w:t>
      </w:r>
    </w:p>
    <w:p w:rsidR="00564A86" w:rsidRPr="00564A86" w:rsidRDefault="00564A86" w:rsidP="00564A86">
      <w:pPr>
        <w:spacing w:after="30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Bu yıl festival akademik programı teması olarak; “</w:t>
      </w:r>
      <w:r w:rsidRPr="00564A86">
        <w:rPr>
          <w:rFonts w:ascii="Arial" w:eastAsia="Times New Roman" w:hAnsi="Arial" w:cs="Arial"/>
          <w:b/>
          <w:bCs/>
          <w:sz w:val="24"/>
          <w:szCs w:val="24"/>
          <w:lang w:eastAsia="tr-TR"/>
        </w:rPr>
        <w:t>Sanal Dünyada Adalet” </w:t>
      </w:r>
      <w:r w:rsidRPr="00564A86">
        <w:rPr>
          <w:rFonts w:ascii="Arial" w:eastAsia="Times New Roman" w:hAnsi="Arial" w:cs="Arial"/>
          <w:sz w:val="24"/>
          <w:szCs w:val="24"/>
          <w:lang w:eastAsia="tr-TR"/>
        </w:rPr>
        <w:t>konusu belirlenmişti. İnternetin hayatımıza girmesi ile ortaya çıkan sanal dünya; ekonomik, sosyal ve kültürel yaşam üzerinde doğrudan etki eden bir hal almıştır. Sanal dünyanın insan yaşamını kolaylaştıran niteliğinin yanında suçların işlenmesinde kullanılması da ciddi boyutlara ulaşmıştır. Bu nedenle bilişim imkanlarından faydalanma konusunda bireylere hukuk güvencesinin sağlanması ile birlikte sunulan imkanların kötüye kullanılmasının önlenmesi de önem taşımaktadır. Bu çerçevede; </w:t>
      </w:r>
      <w:r w:rsidRPr="00564A86">
        <w:rPr>
          <w:rFonts w:ascii="Arial" w:eastAsia="Times New Roman" w:hAnsi="Arial" w:cs="Arial"/>
          <w:b/>
          <w:bCs/>
          <w:sz w:val="24"/>
          <w:szCs w:val="24"/>
          <w:lang w:eastAsia="tr-TR"/>
        </w:rPr>
        <w:t>“Sanal Dünyada Adalet”</w:t>
      </w:r>
      <w:r w:rsidRPr="00564A86">
        <w:rPr>
          <w:rFonts w:ascii="Arial" w:eastAsia="Times New Roman" w:hAnsi="Arial" w:cs="Arial"/>
          <w:sz w:val="24"/>
          <w:szCs w:val="24"/>
          <w:lang w:eastAsia="tr-TR"/>
        </w:rPr>
        <w:t> konusu, hem hukuk hem de farklı bilim dallarının perspektiften birçok farklı boyutuyla akademik programımızda ele alınacaktır.</w:t>
      </w:r>
    </w:p>
    <w:bookmarkEnd w:id="0"/>
    <w:p w:rsidR="00564A86" w:rsidRPr="00564A86" w:rsidRDefault="00564A86" w:rsidP="00564A86">
      <w:pPr>
        <w:spacing w:after="30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Festival akademik programına tebliğ sunmak üzere katılmak isteyen kişiler, bu ana başlık altında, sınırlayıcı olmamakla birlikte, aşağıda belirlenmiş olan alt başlıkları örnek olarak kullanabilir.</w:t>
      </w:r>
    </w:p>
    <w:p w:rsidR="00564A86" w:rsidRPr="00564A86" w:rsidRDefault="00564A86" w:rsidP="00564A86">
      <w:pPr>
        <w:spacing w:after="30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Uluslararası  Kongre ölçütlerine göre yapılacak etkinlikte sunumlar 20 dakika olup, Türkçe ve İngilizce olarak yapılacaktır. 9. Uluslararası Suç ve Ceza Film Festivali Akademik Programında Sunum yapmak isteyenlerin;</w:t>
      </w:r>
    </w:p>
    <w:p w:rsidR="00564A86" w:rsidRPr="00564A86" w:rsidRDefault="00564A86" w:rsidP="00564A86">
      <w:pPr>
        <w:numPr>
          <w:ilvl w:val="0"/>
          <w:numId w:val="1"/>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b/>
          <w:bCs/>
          <w:sz w:val="24"/>
          <w:szCs w:val="24"/>
          <w:lang w:eastAsia="tr-TR"/>
        </w:rPr>
        <w:t>konu başlığı ve tebliğ özetlerini (</w:t>
      </w:r>
      <w:r w:rsidRPr="00564A86">
        <w:rPr>
          <w:rFonts w:ascii="Arial" w:eastAsia="Times New Roman" w:hAnsi="Arial" w:cs="Arial"/>
          <w:sz w:val="24"/>
          <w:szCs w:val="24"/>
          <w:lang w:eastAsia="tr-TR"/>
        </w:rPr>
        <w:t>100-200 kelime arası)</w:t>
      </w:r>
      <w:r w:rsidRPr="00564A86">
        <w:rPr>
          <w:rFonts w:ascii="Arial" w:eastAsia="Times New Roman" w:hAnsi="Arial" w:cs="Arial"/>
          <w:b/>
          <w:bCs/>
          <w:sz w:val="24"/>
          <w:szCs w:val="24"/>
          <w:lang w:eastAsia="tr-TR"/>
        </w:rPr>
        <w:t>Türkçe ve İngilizce olarak </w:t>
      </w:r>
      <w:r w:rsidRPr="00564A86">
        <w:rPr>
          <w:rFonts w:ascii="Arial" w:eastAsia="Times New Roman" w:hAnsi="Arial" w:cs="Arial"/>
          <w:b/>
          <w:bCs/>
          <w:sz w:val="24"/>
          <w:szCs w:val="24"/>
          <w:u w:val="single"/>
          <w:lang w:eastAsia="tr-TR"/>
        </w:rPr>
        <w:t>01 Haziran 2019</w:t>
      </w:r>
      <w:r w:rsidRPr="00564A86">
        <w:rPr>
          <w:rFonts w:ascii="Arial" w:eastAsia="Times New Roman" w:hAnsi="Arial" w:cs="Arial"/>
          <w:b/>
          <w:bCs/>
          <w:sz w:val="24"/>
          <w:szCs w:val="24"/>
          <w:lang w:eastAsia="tr-TR"/>
        </w:rPr>
        <w:t> tarihine kadar,</w:t>
      </w:r>
    </w:p>
    <w:p w:rsidR="00564A86" w:rsidRPr="00564A86" w:rsidRDefault="00564A86" w:rsidP="00564A86">
      <w:pPr>
        <w:numPr>
          <w:ilvl w:val="0"/>
          <w:numId w:val="1"/>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b/>
          <w:bCs/>
          <w:sz w:val="24"/>
          <w:szCs w:val="24"/>
          <w:lang w:eastAsia="tr-TR"/>
        </w:rPr>
        <w:t>İngilizce özetli </w:t>
      </w:r>
      <w:r w:rsidRPr="00564A86">
        <w:rPr>
          <w:rFonts w:ascii="Arial" w:eastAsia="Times New Roman" w:hAnsi="Arial" w:cs="Arial"/>
          <w:sz w:val="24"/>
          <w:szCs w:val="24"/>
          <w:lang w:eastAsia="tr-TR"/>
        </w:rPr>
        <w:t>(Genişletilmiş özet-</w:t>
      </w:r>
      <w:proofErr w:type="spellStart"/>
      <w:r w:rsidRPr="00564A86">
        <w:rPr>
          <w:rFonts w:ascii="Arial" w:eastAsia="Times New Roman" w:hAnsi="Arial" w:cs="Arial"/>
          <w:sz w:val="24"/>
          <w:szCs w:val="24"/>
          <w:lang w:eastAsia="tr-TR"/>
        </w:rPr>
        <w:t>extended</w:t>
      </w:r>
      <w:proofErr w:type="spellEnd"/>
      <w:r w:rsidRPr="00564A86">
        <w:rPr>
          <w:rFonts w:ascii="Arial" w:eastAsia="Times New Roman" w:hAnsi="Arial" w:cs="Arial"/>
          <w:sz w:val="24"/>
          <w:szCs w:val="24"/>
          <w:lang w:eastAsia="tr-TR"/>
        </w:rPr>
        <w:t xml:space="preserve"> </w:t>
      </w:r>
      <w:proofErr w:type="spellStart"/>
      <w:r w:rsidRPr="00564A86">
        <w:rPr>
          <w:rFonts w:ascii="Arial" w:eastAsia="Times New Roman" w:hAnsi="Arial" w:cs="Arial"/>
          <w:sz w:val="24"/>
          <w:szCs w:val="24"/>
          <w:lang w:eastAsia="tr-TR"/>
        </w:rPr>
        <w:t>abstract</w:t>
      </w:r>
      <w:proofErr w:type="spellEnd"/>
      <w:r w:rsidRPr="00564A86">
        <w:rPr>
          <w:rFonts w:ascii="Arial" w:eastAsia="Times New Roman" w:hAnsi="Arial" w:cs="Arial"/>
          <w:sz w:val="24"/>
          <w:szCs w:val="24"/>
          <w:lang w:eastAsia="tr-TR"/>
        </w:rPr>
        <w:t>- 600-800 kelime arası) </w:t>
      </w:r>
      <w:r w:rsidRPr="00564A86">
        <w:rPr>
          <w:rFonts w:ascii="Arial" w:eastAsia="Times New Roman" w:hAnsi="Arial" w:cs="Arial"/>
          <w:b/>
          <w:bCs/>
          <w:sz w:val="24"/>
          <w:szCs w:val="24"/>
          <w:lang w:eastAsia="tr-TR"/>
        </w:rPr>
        <w:t>tebliğ metinlerini ise Türkçe veya İngilizce olarak </w:t>
      </w:r>
      <w:r w:rsidRPr="00564A86">
        <w:rPr>
          <w:rFonts w:ascii="Arial" w:eastAsia="Times New Roman" w:hAnsi="Arial" w:cs="Arial"/>
          <w:b/>
          <w:bCs/>
          <w:sz w:val="24"/>
          <w:szCs w:val="24"/>
          <w:u w:val="single"/>
          <w:lang w:eastAsia="tr-TR"/>
        </w:rPr>
        <w:t>1 Ağustos 2019</w:t>
      </w:r>
      <w:r w:rsidRPr="00564A86">
        <w:rPr>
          <w:rFonts w:ascii="Arial" w:eastAsia="Times New Roman" w:hAnsi="Arial" w:cs="Arial"/>
          <w:b/>
          <w:bCs/>
          <w:sz w:val="24"/>
          <w:szCs w:val="24"/>
          <w:lang w:eastAsia="tr-TR"/>
        </w:rPr>
        <w:t>tarihine kadar</w:t>
      </w:r>
    </w:p>
    <w:p w:rsidR="00564A86" w:rsidRPr="00564A86" w:rsidRDefault="00564A86" w:rsidP="00564A86">
      <w:pPr>
        <w:pStyle w:val="AralkYok"/>
        <w:rPr>
          <w:sz w:val="24"/>
          <w:szCs w:val="24"/>
          <w:lang w:eastAsia="tr-TR"/>
        </w:rPr>
      </w:pPr>
    </w:p>
    <w:p w:rsidR="00564A86" w:rsidRPr="00564A86" w:rsidRDefault="00564A86" w:rsidP="00564A86">
      <w:pPr>
        <w:spacing w:after="30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göndermelerini rica ederiz. Gönderilen bu metinler </w:t>
      </w:r>
      <w:r w:rsidRPr="00564A86">
        <w:rPr>
          <w:rFonts w:ascii="Arial" w:eastAsia="Times New Roman" w:hAnsi="Arial" w:cs="Arial"/>
          <w:b/>
          <w:bCs/>
          <w:sz w:val="24"/>
          <w:szCs w:val="24"/>
          <w:lang w:eastAsia="tr-TR"/>
        </w:rPr>
        <w:t>hakemli veya hakemsiz şekilde</w:t>
      </w:r>
      <w:r w:rsidRPr="00564A86">
        <w:rPr>
          <w:rFonts w:ascii="Arial" w:eastAsia="Times New Roman" w:hAnsi="Arial" w:cs="Arial"/>
          <w:sz w:val="24"/>
          <w:szCs w:val="24"/>
          <w:lang w:eastAsia="tr-TR"/>
        </w:rPr>
        <w:t> yayınlanacaktır. Tüm metinlerde uyulması gereken atıf sistemi ise </w:t>
      </w:r>
      <w:r w:rsidRPr="00564A86">
        <w:rPr>
          <w:rFonts w:ascii="Arial" w:eastAsia="Times New Roman" w:hAnsi="Arial" w:cs="Arial"/>
          <w:b/>
          <w:bCs/>
          <w:sz w:val="24"/>
          <w:szCs w:val="24"/>
          <w:lang w:eastAsia="tr-TR"/>
        </w:rPr>
        <w:t>OSCOLA</w:t>
      </w:r>
      <w:r w:rsidRPr="00564A86">
        <w:rPr>
          <w:rFonts w:ascii="Arial" w:eastAsia="Times New Roman" w:hAnsi="Arial" w:cs="Arial"/>
          <w:sz w:val="24"/>
          <w:szCs w:val="24"/>
          <w:lang w:eastAsia="tr-TR"/>
        </w:rPr>
        <w:t> olarak belirlenmiştir. Detayları ise ilgili link ve ekte yer almaktadır.</w:t>
      </w:r>
    </w:p>
    <w:p w:rsidR="00564A86" w:rsidRPr="00564A86" w:rsidRDefault="00564A86" w:rsidP="00564A86">
      <w:pPr>
        <w:spacing w:after="300" w:line="240" w:lineRule="auto"/>
        <w:rPr>
          <w:rFonts w:ascii="Arial" w:eastAsia="Times New Roman" w:hAnsi="Arial" w:cs="Arial"/>
          <w:b/>
          <w:sz w:val="24"/>
          <w:szCs w:val="24"/>
          <w:lang w:eastAsia="tr-TR"/>
        </w:rPr>
      </w:pPr>
      <w:r w:rsidRPr="00564A86">
        <w:rPr>
          <w:rFonts w:ascii="Arial" w:eastAsia="Times New Roman" w:hAnsi="Arial" w:cs="Arial"/>
          <w:b/>
          <w:sz w:val="24"/>
          <w:szCs w:val="24"/>
          <w:lang w:eastAsia="tr-TR"/>
        </w:rPr>
        <w:t>Link:</w:t>
      </w:r>
    </w:p>
    <w:p w:rsidR="00564A86" w:rsidRDefault="00564A86" w:rsidP="00564A86">
      <w:pPr>
        <w:pStyle w:val="AralkYok"/>
        <w:rPr>
          <w:rFonts w:ascii="Arial" w:hAnsi="Arial" w:cs="Arial"/>
          <w:sz w:val="24"/>
          <w:szCs w:val="24"/>
          <w:lang w:eastAsia="tr-TR"/>
        </w:rPr>
      </w:pPr>
      <w:hyperlink r:id="rId5" w:history="1">
        <w:r w:rsidRPr="00F66583">
          <w:rPr>
            <w:rStyle w:val="Kpr"/>
            <w:rFonts w:ascii="Arial" w:hAnsi="Arial" w:cs="Arial"/>
            <w:sz w:val="24"/>
            <w:szCs w:val="24"/>
            <w:lang w:eastAsia="tr-TR"/>
          </w:rPr>
          <w:t>https://www.law.ox.ac.uk/research-subject-groups/publications/oscola</w:t>
        </w:r>
      </w:hyperlink>
    </w:p>
    <w:p w:rsidR="00564A86" w:rsidRDefault="00564A86" w:rsidP="00564A86">
      <w:pPr>
        <w:pStyle w:val="AralkYok"/>
        <w:rPr>
          <w:rFonts w:ascii="Arial" w:hAnsi="Arial" w:cs="Arial"/>
          <w:sz w:val="24"/>
          <w:szCs w:val="24"/>
          <w:lang w:eastAsia="tr-TR"/>
        </w:rPr>
      </w:pPr>
      <w:hyperlink r:id="rId6" w:history="1">
        <w:r w:rsidRPr="00F66583">
          <w:rPr>
            <w:rStyle w:val="Kpr"/>
            <w:rFonts w:ascii="Arial" w:hAnsi="Arial" w:cs="Arial"/>
            <w:sz w:val="24"/>
            <w:szCs w:val="24"/>
            <w:lang w:eastAsia="tr-TR"/>
          </w:rPr>
          <w:t>https://www.law.ox.ac.uk/sites/files/oxlaw/oscola_4th_edn_hart_2012.pdf</w:t>
        </w:r>
      </w:hyperlink>
    </w:p>
    <w:p w:rsidR="00564A86" w:rsidRPr="00564A86" w:rsidRDefault="00564A86" w:rsidP="00564A86">
      <w:pPr>
        <w:pStyle w:val="AralkYok"/>
        <w:rPr>
          <w:rFonts w:ascii="Arial" w:hAnsi="Arial" w:cs="Arial"/>
          <w:sz w:val="24"/>
          <w:szCs w:val="24"/>
          <w:lang w:eastAsia="tr-TR"/>
        </w:rPr>
      </w:pPr>
    </w:p>
    <w:p w:rsidR="00564A86" w:rsidRPr="00564A86" w:rsidRDefault="00564A86" w:rsidP="00564A86">
      <w:pPr>
        <w:spacing w:after="30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 xml:space="preserve">22 – 28 Kasım 2019 tarihleri arasında düzenlenecek olan 9. Uluslararası Suç ve Ceza Film Festivali Akademik Programında sunum yapma veya tartışmalara katılmak </w:t>
      </w:r>
      <w:r w:rsidRPr="00564A86">
        <w:rPr>
          <w:rFonts w:ascii="Arial" w:eastAsia="Times New Roman" w:hAnsi="Arial" w:cs="Arial"/>
          <w:sz w:val="24"/>
          <w:szCs w:val="24"/>
          <w:lang w:eastAsia="tr-TR"/>
        </w:rPr>
        <w:lastRenderedPageBreak/>
        <w:t>üzere  teşrif etmenizden büyük bir onur ve memnuniyet duyacağımızı bildirir, saygılarımı sunarım.</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Dijital Dönüşüm</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Bilişim Sistemleri</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İnternet İletişim Hukuku</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Sosyal Ağlar</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Yapay Zeka</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Medya</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Kişisel Verilerin Korunması</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Elektronik Ticaret</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İnternet Hukuku</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Bilişim Suçları</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Ceza Muhakemesi Hukuku Tedbirleri</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Adli Bilişim</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Mobil Bankacılık</w:t>
      </w:r>
    </w:p>
    <w:p w:rsidR="00564A86" w:rsidRP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Sanal Mülkiyet</w:t>
      </w:r>
    </w:p>
    <w:p w:rsidR="00564A86" w:rsidRDefault="00564A86" w:rsidP="00564A86">
      <w:pPr>
        <w:numPr>
          <w:ilvl w:val="0"/>
          <w:numId w:val="2"/>
        </w:numPr>
        <w:spacing w:before="100" w:beforeAutospacing="1" w:after="30" w:line="240" w:lineRule="auto"/>
        <w:rPr>
          <w:rFonts w:ascii="Arial" w:eastAsia="Times New Roman" w:hAnsi="Arial" w:cs="Arial"/>
          <w:sz w:val="24"/>
          <w:szCs w:val="24"/>
          <w:lang w:eastAsia="tr-TR"/>
        </w:rPr>
      </w:pPr>
      <w:r w:rsidRPr="00564A86">
        <w:rPr>
          <w:rFonts w:ascii="Arial" w:eastAsia="Times New Roman" w:hAnsi="Arial" w:cs="Arial"/>
          <w:sz w:val="24"/>
          <w:szCs w:val="24"/>
          <w:lang w:eastAsia="tr-TR"/>
        </w:rPr>
        <w:t>Uluslararası Düzenlemeler</w:t>
      </w:r>
    </w:p>
    <w:p w:rsidR="00564A86" w:rsidRPr="00564A86" w:rsidRDefault="00564A86" w:rsidP="00564A86">
      <w:pPr>
        <w:pStyle w:val="AralkYok"/>
        <w:rPr>
          <w:lang w:eastAsia="tr-TR"/>
        </w:rPr>
      </w:pPr>
    </w:p>
    <w:p w:rsidR="00564A86" w:rsidRPr="00564A86" w:rsidRDefault="00564A86" w:rsidP="00564A86">
      <w:pPr>
        <w:pStyle w:val="AralkYok"/>
        <w:rPr>
          <w:rFonts w:ascii="Arial" w:hAnsi="Arial" w:cs="Arial"/>
          <w:b/>
          <w:sz w:val="24"/>
          <w:szCs w:val="24"/>
          <w:lang w:eastAsia="tr-TR"/>
        </w:rPr>
      </w:pPr>
      <w:r w:rsidRPr="00564A86">
        <w:rPr>
          <w:rFonts w:ascii="Arial" w:hAnsi="Arial" w:cs="Arial"/>
          <w:b/>
          <w:sz w:val="24"/>
          <w:szCs w:val="24"/>
          <w:lang w:eastAsia="tr-TR"/>
        </w:rPr>
        <w:t>Organizasyon Komitesi Adına</w:t>
      </w:r>
    </w:p>
    <w:p w:rsidR="00607C99" w:rsidRPr="00564A86" w:rsidRDefault="00564A86" w:rsidP="00564A86">
      <w:pPr>
        <w:pStyle w:val="AralkYok"/>
        <w:rPr>
          <w:rFonts w:ascii="Arial" w:hAnsi="Arial" w:cs="Arial"/>
          <w:b/>
          <w:sz w:val="24"/>
          <w:szCs w:val="24"/>
          <w:lang w:eastAsia="tr-TR"/>
        </w:rPr>
      </w:pPr>
      <w:r w:rsidRPr="00564A86">
        <w:rPr>
          <w:rFonts w:ascii="Arial" w:hAnsi="Arial" w:cs="Arial"/>
          <w:b/>
          <w:sz w:val="24"/>
          <w:szCs w:val="24"/>
          <w:lang w:eastAsia="tr-TR"/>
        </w:rPr>
        <w:t>Prof. Dr. Adem SÖZÜER</w:t>
      </w:r>
    </w:p>
    <w:sectPr w:rsidR="00607C99" w:rsidRPr="00564A86"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4CCB"/>
    <w:multiLevelType w:val="multilevel"/>
    <w:tmpl w:val="931A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87D49"/>
    <w:multiLevelType w:val="multilevel"/>
    <w:tmpl w:val="5CF8E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86"/>
    <w:rsid w:val="00564A86"/>
    <w:rsid w:val="005C1598"/>
    <w:rsid w:val="00607C99"/>
    <w:rsid w:val="00A30094"/>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CAB2"/>
  <w15:chartTrackingRefBased/>
  <w15:docId w15:val="{E55D74C8-51F7-4A88-82B8-0EE099DBD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64A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64A86"/>
    <w:rPr>
      <w:rFonts w:ascii="Times New Roman" w:eastAsia="Times New Roman" w:hAnsi="Times New Roman" w:cs="Times New Roman"/>
      <w:b/>
      <w:bCs/>
      <w:kern w:val="36"/>
      <w:sz w:val="48"/>
      <w:szCs w:val="48"/>
      <w:lang w:eastAsia="tr-TR"/>
    </w:rPr>
  </w:style>
  <w:style w:type="character" w:customStyle="1" w:styleId="author">
    <w:name w:val="author"/>
    <w:basedOn w:val="VarsaylanParagrafYazTipi"/>
    <w:rsid w:val="00564A86"/>
  </w:style>
  <w:style w:type="character" w:customStyle="1" w:styleId="fn">
    <w:name w:val="fn"/>
    <w:basedOn w:val="VarsaylanParagrafYazTipi"/>
    <w:rsid w:val="00564A86"/>
  </w:style>
  <w:style w:type="character" w:styleId="Kpr">
    <w:name w:val="Hyperlink"/>
    <w:basedOn w:val="VarsaylanParagrafYazTipi"/>
    <w:uiPriority w:val="99"/>
    <w:unhideWhenUsed/>
    <w:rsid w:val="00564A86"/>
    <w:rPr>
      <w:color w:val="0000FF"/>
      <w:u w:val="single"/>
    </w:rPr>
  </w:style>
  <w:style w:type="paragraph" w:styleId="NormalWeb">
    <w:name w:val="Normal (Web)"/>
    <w:basedOn w:val="Normal"/>
    <w:uiPriority w:val="99"/>
    <w:semiHidden/>
    <w:unhideWhenUsed/>
    <w:rsid w:val="00564A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4A86"/>
    <w:rPr>
      <w:b/>
      <w:bCs/>
    </w:rPr>
  </w:style>
  <w:style w:type="paragraph" w:styleId="AralkYok">
    <w:name w:val="No Spacing"/>
    <w:uiPriority w:val="1"/>
    <w:qFormat/>
    <w:rsid w:val="00564A86"/>
    <w:pPr>
      <w:spacing w:after="0" w:line="240" w:lineRule="auto"/>
    </w:pPr>
  </w:style>
  <w:style w:type="character" w:styleId="zmlenmeyenBahsetme">
    <w:name w:val="Unresolved Mention"/>
    <w:basedOn w:val="VarsaylanParagrafYazTipi"/>
    <w:uiPriority w:val="99"/>
    <w:semiHidden/>
    <w:unhideWhenUsed/>
    <w:rsid w:val="00564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40769">
      <w:bodyDiv w:val="1"/>
      <w:marLeft w:val="0"/>
      <w:marRight w:val="0"/>
      <w:marTop w:val="0"/>
      <w:marBottom w:val="0"/>
      <w:divBdr>
        <w:top w:val="none" w:sz="0" w:space="0" w:color="auto"/>
        <w:left w:val="none" w:sz="0" w:space="0" w:color="auto"/>
        <w:bottom w:val="none" w:sz="0" w:space="0" w:color="auto"/>
        <w:right w:val="none" w:sz="0" w:space="0" w:color="auto"/>
      </w:divBdr>
      <w:divsChild>
        <w:div w:id="1436171142">
          <w:marLeft w:val="0"/>
          <w:marRight w:val="0"/>
          <w:marTop w:val="0"/>
          <w:marBottom w:val="240"/>
          <w:divBdr>
            <w:top w:val="none" w:sz="0" w:space="0" w:color="auto"/>
            <w:left w:val="none" w:sz="0" w:space="0" w:color="auto"/>
            <w:bottom w:val="single" w:sz="6" w:space="5" w:color="EAEAEA"/>
            <w:right w:val="none" w:sz="0" w:space="0" w:color="auto"/>
          </w:divBdr>
          <w:divsChild>
            <w:div w:id="2010013545">
              <w:marLeft w:val="0"/>
              <w:marRight w:val="0"/>
              <w:marTop w:val="0"/>
              <w:marBottom w:val="0"/>
              <w:divBdr>
                <w:top w:val="none" w:sz="0" w:space="0" w:color="auto"/>
                <w:left w:val="none" w:sz="0" w:space="0" w:color="auto"/>
                <w:bottom w:val="none" w:sz="0" w:space="0" w:color="auto"/>
                <w:right w:val="none" w:sz="0" w:space="0" w:color="auto"/>
              </w:divBdr>
            </w:div>
          </w:divsChild>
        </w:div>
        <w:div w:id="1174346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ox.ac.uk/sites/files/oxlaw/oscola_4th_edn_hart_2012.pdf" TargetMode="External"/><Relationship Id="rId5" Type="http://schemas.openxmlformats.org/officeDocument/2006/relationships/hyperlink" Target="https://www.law.ox.ac.uk/research-subject-groups/publications/oscol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2019-05-15T20:21:00Z</dcterms:created>
  <dcterms:modified xsi:type="dcterms:W3CDTF">2019-05-15T20:36:00Z</dcterms:modified>
</cp:coreProperties>
</file>