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C52F3" w14:textId="77777777" w:rsidR="005E3AFE" w:rsidRPr="002731AE" w:rsidRDefault="005E3AFE">
      <w:pPr>
        <w:rPr>
          <w:sz w:val="24"/>
          <w:szCs w:val="24"/>
        </w:rPr>
      </w:pPr>
    </w:p>
    <w:p w14:paraId="128704FA" w14:textId="77777777" w:rsidR="005E3AFE" w:rsidRPr="002731AE" w:rsidRDefault="00000000">
      <w:pPr>
        <w:jc w:val="center"/>
        <w:rPr>
          <w:b/>
          <w:sz w:val="40"/>
          <w:szCs w:val="40"/>
        </w:rPr>
      </w:pPr>
      <w:r w:rsidRPr="002731AE">
        <w:rPr>
          <w:b/>
          <w:sz w:val="40"/>
          <w:szCs w:val="40"/>
        </w:rPr>
        <w:t xml:space="preserve">Dakota Johnson, Chris Evans ve Pedro Pascal </w:t>
      </w:r>
    </w:p>
    <w:p w14:paraId="60D6B659" w14:textId="77777777" w:rsidR="005E3AFE" w:rsidRPr="002731AE" w:rsidRDefault="00000000">
      <w:pPr>
        <w:jc w:val="center"/>
        <w:rPr>
          <w:b/>
          <w:sz w:val="40"/>
          <w:szCs w:val="40"/>
        </w:rPr>
      </w:pPr>
      <w:r w:rsidRPr="002731AE">
        <w:rPr>
          <w:b/>
          <w:sz w:val="40"/>
          <w:szCs w:val="40"/>
        </w:rPr>
        <w:t>‘Tam Bana Göre’ Filmiyle Beyazperdeye Geliyor!</w:t>
      </w:r>
    </w:p>
    <w:p w14:paraId="281E51C5" w14:textId="77777777" w:rsidR="005E3AFE" w:rsidRPr="002731AE" w:rsidRDefault="005E3AFE">
      <w:pPr>
        <w:rPr>
          <w:sz w:val="24"/>
          <w:szCs w:val="24"/>
        </w:rPr>
      </w:pPr>
    </w:p>
    <w:p w14:paraId="115E442D" w14:textId="77777777" w:rsidR="005E3AFE" w:rsidRPr="002731AE" w:rsidRDefault="00000000">
      <w:pPr>
        <w:jc w:val="center"/>
        <w:rPr>
          <w:b/>
          <w:sz w:val="24"/>
          <w:szCs w:val="24"/>
        </w:rPr>
      </w:pPr>
      <w:r w:rsidRPr="002731AE">
        <w:rPr>
          <w:b/>
          <w:sz w:val="24"/>
          <w:szCs w:val="24"/>
        </w:rPr>
        <w:t>‘Tam Bana Göre’ TME Films Dağıtımıyla 13 Haziran’da Sinemalarda…</w:t>
      </w:r>
    </w:p>
    <w:p w14:paraId="686A2C31" w14:textId="77777777" w:rsidR="005E3AFE" w:rsidRPr="002731AE" w:rsidRDefault="005E3AFE">
      <w:pPr>
        <w:jc w:val="center"/>
        <w:rPr>
          <w:b/>
          <w:sz w:val="24"/>
          <w:szCs w:val="24"/>
        </w:rPr>
      </w:pPr>
    </w:p>
    <w:p w14:paraId="770C71F4" w14:textId="51744DA4" w:rsidR="005E3AFE" w:rsidRPr="002731AE" w:rsidRDefault="00000000">
      <w:pPr>
        <w:rPr>
          <w:b/>
          <w:sz w:val="24"/>
          <w:szCs w:val="24"/>
        </w:rPr>
      </w:pPr>
      <w:r w:rsidRPr="002731AE">
        <w:rPr>
          <w:b/>
          <w:sz w:val="24"/>
          <w:szCs w:val="24"/>
        </w:rPr>
        <w:t>Fragman</w:t>
      </w:r>
      <w:r w:rsidR="002731AE">
        <w:rPr>
          <w:b/>
          <w:sz w:val="24"/>
          <w:szCs w:val="24"/>
        </w:rPr>
        <w:t xml:space="preserve">: </w:t>
      </w:r>
      <w:hyperlink r:id="rId6" w:history="1">
        <w:r w:rsidR="002731AE" w:rsidRPr="00C0703E">
          <w:rPr>
            <w:rStyle w:val="Kpr"/>
            <w:sz w:val="24"/>
            <w:szCs w:val="24"/>
          </w:rPr>
          <w:t>https://www.youtube.com/watch?v=-NoH_9RHqu4</w:t>
        </w:r>
      </w:hyperlink>
      <w:r w:rsidR="002731AE">
        <w:rPr>
          <w:sz w:val="24"/>
          <w:szCs w:val="24"/>
        </w:rPr>
        <w:t xml:space="preserve"> </w:t>
      </w:r>
    </w:p>
    <w:p w14:paraId="337C9753" w14:textId="77777777" w:rsidR="005E3AFE" w:rsidRPr="002731AE" w:rsidRDefault="005E3AFE">
      <w:pPr>
        <w:rPr>
          <w:sz w:val="24"/>
          <w:szCs w:val="24"/>
        </w:rPr>
      </w:pPr>
    </w:p>
    <w:p w14:paraId="4DC62464" w14:textId="77777777" w:rsidR="005E3AFE" w:rsidRPr="002731AE" w:rsidRDefault="00000000">
      <w:pPr>
        <w:rPr>
          <w:sz w:val="24"/>
          <w:szCs w:val="24"/>
        </w:rPr>
      </w:pPr>
      <w:r w:rsidRPr="002731AE">
        <w:rPr>
          <w:sz w:val="24"/>
          <w:szCs w:val="24"/>
        </w:rPr>
        <w:t>‘Başka Bir Hayatta (Past Lives)’ filmiyle Oscar adaylığı kazanan Celine Song, bu kez günümüz ilişkilerinin çelişkili hallerine ironik bir bakış sunan yeni filmiyle geri dönüyor. TME Films dağıtımıyla 13 Haziran’da sinema salonlarındaki yerini almaya hazırlanan ‘Tam Bana Göre’ filmi Dakota Johnson, Chris Evans ve Pedro Pascal’ı bir araya getiriyor.</w:t>
      </w:r>
    </w:p>
    <w:p w14:paraId="456EF6FB" w14:textId="77777777" w:rsidR="005E3AFE" w:rsidRPr="002731AE" w:rsidRDefault="005E3AFE">
      <w:pPr>
        <w:rPr>
          <w:sz w:val="24"/>
          <w:szCs w:val="24"/>
        </w:rPr>
      </w:pPr>
    </w:p>
    <w:p w14:paraId="4D05CF2E" w14:textId="77777777" w:rsidR="005E3AFE" w:rsidRPr="002731AE" w:rsidRDefault="00000000">
      <w:pPr>
        <w:rPr>
          <w:sz w:val="24"/>
          <w:szCs w:val="24"/>
        </w:rPr>
      </w:pPr>
      <w:r w:rsidRPr="002731AE">
        <w:rPr>
          <w:sz w:val="24"/>
          <w:szCs w:val="24"/>
        </w:rPr>
        <w:t>Film, New York’ta yaşayan genç ve hırslı bir çöpçatan olan Lucy’nin hikâyesini anlatıyor. Hayatını başkalarına ideal eşleşmeler bulmaya adamış Lucy, bir yandan kusursuz görünen yeni bir ilişkiyle karşı karşıya kalırken, diğer yandan izini silemediği kusurlu eski sevgilisini aklından çıkaramaz.</w:t>
      </w:r>
    </w:p>
    <w:p w14:paraId="72E9E2F0" w14:textId="77777777" w:rsidR="005E3AFE" w:rsidRPr="002731AE" w:rsidRDefault="005E3AFE">
      <w:pPr>
        <w:rPr>
          <w:sz w:val="24"/>
          <w:szCs w:val="24"/>
        </w:rPr>
      </w:pPr>
    </w:p>
    <w:p w14:paraId="11B3F91E" w14:textId="77777777" w:rsidR="005E3AFE" w:rsidRPr="002731AE" w:rsidRDefault="00000000">
      <w:pPr>
        <w:rPr>
          <w:sz w:val="24"/>
          <w:szCs w:val="24"/>
        </w:rPr>
      </w:pPr>
      <w:r w:rsidRPr="002731AE">
        <w:rPr>
          <w:sz w:val="24"/>
          <w:szCs w:val="24"/>
        </w:rPr>
        <w:t>Başrollerde Dakota Johnson, Chris Evans ve Pedro Pascal yer alırken, filmin yönetmenliğini ve senaristliğini Celine Song üstleniyor. Yapımcılar arasında David Hinojosa, Christine Vachon, Pamela Koffler ve Song’un kendisi bulunuyor.</w:t>
      </w:r>
    </w:p>
    <w:p w14:paraId="4068A4FA" w14:textId="77777777" w:rsidR="005E3AFE" w:rsidRPr="002731AE" w:rsidRDefault="005E3AFE">
      <w:pPr>
        <w:rPr>
          <w:sz w:val="24"/>
          <w:szCs w:val="24"/>
        </w:rPr>
      </w:pPr>
    </w:p>
    <w:p w14:paraId="1901A845" w14:textId="75D363F1" w:rsidR="005E3AFE" w:rsidRPr="002731AE" w:rsidRDefault="00000000">
      <w:pPr>
        <w:rPr>
          <w:sz w:val="24"/>
          <w:szCs w:val="24"/>
        </w:rPr>
      </w:pPr>
      <w:r w:rsidRPr="002731AE">
        <w:rPr>
          <w:sz w:val="24"/>
          <w:szCs w:val="24"/>
        </w:rPr>
        <w:t>Modern ilişkilerin farklı yönlerinin sorgulandığı ‘Tam Bana Göre’, TME Films dağıtımıyla 13 Haziran’da sinemalarda.</w:t>
      </w:r>
    </w:p>
    <w:p w14:paraId="6FA10BDF" w14:textId="77777777" w:rsidR="005E3AFE" w:rsidRPr="002731AE" w:rsidRDefault="005E3AFE">
      <w:pPr>
        <w:rPr>
          <w:sz w:val="24"/>
          <w:szCs w:val="24"/>
          <w:highlight w:val="white"/>
        </w:rPr>
      </w:pPr>
    </w:p>
    <w:p w14:paraId="10515BAE" w14:textId="77777777" w:rsidR="005E3AFE" w:rsidRPr="002731AE" w:rsidRDefault="005E3AFE">
      <w:pPr>
        <w:rPr>
          <w:sz w:val="24"/>
          <w:szCs w:val="24"/>
          <w:highlight w:val="white"/>
        </w:rPr>
      </w:pPr>
    </w:p>
    <w:p w14:paraId="1C36EAD2" w14:textId="77777777" w:rsidR="005E3AFE" w:rsidRPr="002731AE" w:rsidRDefault="005E3AFE">
      <w:pPr>
        <w:rPr>
          <w:sz w:val="24"/>
          <w:szCs w:val="24"/>
          <w:highlight w:val="white"/>
        </w:rPr>
      </w:pPr>
    </w:p>
    <w:p w14:paraId="01DB2E25" w14:textId="77777777" w:rsidR="005E3AFE" w:rsidRPr="002731AE" w:rsidRDefault="005E3AFE">
      <w:pPr>
        <w:rPr>
          <w:sz w:val="24"/>
          <w:szCs w:val="24"/>
          <w:highlight w:val="white"/>
        </w:rPr>
      </w:pPr>
    </w:p>
    <w:p w14:paraId="5085E93A" w14:textId="77777777" w:rsidR="005E3AFE" w:rsidRPr="002731AE" w:rsidRDefault="00000000">
      <w:pPr>
        <w:spacing w:after="240"/>
        <w:rPr>
          <w:sz w:val="24"/>
          <w:szCs w:val="24"/>
          <w:highlight w:val="white"/>
        </w:rPr>
      </w:pPr>
      <w:r w:rsidRPr="002731AE">
        <w:rPr>
          <w:sz w:val="24"/>
          <w:szCs w:val="24"/>
          <w:highlight w:val="white"/>
        </w:rPr>
        <w:t xml:space="preserve"> </w:t>
      </w:r>
    </w:p>
    <w:p w14:paraId="3C514138" w14:textId="77777777" w:rsidR="005E3AFE" w:rsidRPr="002731AE" w:rsidRDefault="00000000">
      <w:pPr>
        <w:rPr>
          <w:sz w:val="24"/>
          <w:szCs w:val="24"/>
          <w:highlight w:val="white"/>
        </w:rPr>
      </w:pPr>
      <w:r w:rsidRPr="002731AE">
        <w:rPr>
          <w:sz w:val="24"/>
          <w:szCs w:val="24"/>
          <w:highlight w:val="white"/>
        </w:rPr>
        <w:t xml:space="preserve"> </w:t>
      </w:r>
    </w:p>
    <w:p w14:paraId="143FE873" w14:textId="77777777" w:rsidR="005E3AFE" w:rsidRPr="002731AE" w:rsidRDefault="005E3AFE">
      <w:pPr>
        <w:rPr>
          <w:b/>
          <w:sz w:val="24"/>
          <w:szCs w:val="24"/>
        </w:rPr>
      </w:pPr>
    </w:p>
    <w:sectPr w:rsidR="005E3AFE" w:rsidRPr="002731AE">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78B6" w14:textId="77777777" w:rsidR="001F1339" w:rsidRDefault="001F1339">
      <w:r>
        <w:separator/>
      </w:r>
    </w:p>
  </w:endnote>
  <w:endnote w:type="continuationSeparator" w:id="0">
    <w:p w14:paraId="2C59C677" w14:textId="77777777" w:rsidR="001F1339" w:rsidRDefault="001F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EFEA" w14:textId="77777777" w:rsidR="005E3AFE"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05F5CB30" w14:textId="77777777" w:rsidR="005E3AF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4180A87C" w14:textId="77777777" w:rsidR="005E3AF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7FCC71CA" w14:textId="77777777" w:rsidR="005E3AFE"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1363CEE" w14:textId="77777777" w:rsidR="005E3AF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8CC5BB0" w14:textId="77777777" w:rsidR="005E3AFE" w:rsidRDefault="005E3AFE">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8C6E" w14:textId="77777777" w:rsidR="005E3AFE" w:rsidRDefault="005E3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515F" w14:textId="77777777" w:rsidR="001F1339" w:rsidRDefault="001F1339">
      <w:r>
        <w:separator/>
      </w:r>
    </w:p>
  </w:footnote>
  <w:footnote w:type="continuationSeparator" w:id="0">
    <w:p w14:paraId="7752D08F" w14:textId="77777777" w:rsidR="001F1339" w:rsidRDefault="001F1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1BF1" w14:textId="77777777" w:rsidR="005E3AFE"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6D15B8D8" wp14:editId="75612E6D">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51DC" w14:textId="77777777" w:rsidR="005E3AFE" w:rsidRDefault="005E3A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E"/>
    <w:rsid w:val="001F1339"/>
    <w:rsid w:val="002731AE"/>
    <w:rsid w:val="004E0B53"/>
    <w:rsid w:val="005E3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D5E6"/>
  <w15:docId w15:val="{C33B720C-8180-4971-8600-263E240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2731AE"/>
    <w:rPr>
      <w:color w:val="0000FF" w:themeColor="hyperlink"/>
      <w:u w:val="single"/>
    </w:rPr>
  </w:style>
  <w:style w:type="character" w:styleId="zmlenmeyenBahsetme">
    <w:name w:val="Unresolved Mention"/>
    <w:basedOn w:val="VarsaylanParagrafYazTipi"/>
    <w:uiPriority w:val="99"/>
    <w:semiHidden/>
    <w:unhideWhenUsed/>
    <w:rsid w:val="00273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oH_9RHqu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2025-04-20T05:00:00Z</dcterms:created>
  <dcterms:modified xsi:type="dcterms:W3CDTF">2025-04-20T05:01:00Z</dcterms:modified>
</cp:coreProperties>
</file>