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E31FC" w14:textId="77777777" w:rsidR="00EF5557" w:rsidRDefault="00EF5557" w:rsidP="002034A4">
      <w:pPr>
        <w:rPr>
          <w:sz w:val="24"/>
          <w:szCs w:val="24"/>
        </w:rPr>
      </w:pPr>
    </w:p>
    <w:p w14:paraId="5003CE6C" w14:textId="2F0CBBA5" w:rsidR="00EF5557" w:rsidRPr="002034A4" w:rsidRDefault="00000000" w:rsidP="002034A4">
      <w:pPr>
        <w:jc w:val="center"/>
        <w:rPr>
          <w:b/>
          <w:sz w:val="40"/>
          <w:szCs w:val="40"/>
        </w:rPr>
      </w:pPr>
      <w:proofErr w:type="spellStart"/>
      <w:r w:rsidRPr="002034A4">
        <w:rPr>
          <w:b/>
          <w:sz w:val="40"/>
          <w:szCs w:val="40"/>
        </w:rPr>
        <w:t>Ryan</w:t>
      </w:r>
      <w:proofErr w:type="spellEnd"/>
      <w:r w:rsidRPr="002034A4">
        <w:rPr>
          <w:b/>
          <w:sz w:val="40"/>
          <w:szCs w:val="40"/>
        </w:rPr>
        <w:t xml:space="preserve"> </w:t>
      </w:r>
      <w:proofErr w:type="spellStart"/>
      <w:r w:rsidRPr="002034A4">
        <w:rPr>
          <w:b/>
          <w:sz w:val="40"/>
          <w:szCs w:val="40"/>
        </w:rPr>
        <w:t>Coogler</w:t>
      </w:r>
      <w:proofErr w:type="spellEnd"/>
      <w:r w:rsidRPr="002034A4">
        <w:rPr>
          <w:b/>
          <w:sz w:val="40"/>
          <w:szCs w:val="40"/>
        </w:rPr>
        <w:t xml:space="preserve"> ve Michael B. Jordan’dan </w:t>
      </w:r>
      <w:proofErr w:type="spellStart"/>
      <w:r w:rsidRPr="002034A4">
        <w:rPr>
          <w:b/>
          <w:sz w:val="40"/>
          <w:szCs w:val="40"/>
        </w:rPr>
        <w:t>Blues’un</w:t>
      </w:r>
      <w:proofErr w:type="spellEnd"/>
      <w:r w:rsidRPr="002034A4">
        <w:rPr>
          <w:b/>
          <w:sz w:val="40"/>
          <w:szCs w:val="40"/>
        </w:rPr>
        <w:t xml:space="preserve"> Karanlığında Doğaüstü Bir Korku Masalı</w:t>
      </w:r>
    </w:p>
    <w:p w14:paraId="5749DDDE" w14:textId="67F60139" w:rsidR="00EF5557" w:rsidRPr="002034A4" w:rsidRDefault="00000000" w:rsidP="002034A4">
      <w:pPr>
        <w:jc w:val="center"/>
        <w:rPr>
          <w:b/>
          <w:sz w:val="40"/>
          <w:szCs w:val="40"/>
        </w:rPr>
      </w:pPr>
      <w:r w:rsidRPr="002034A4">
        <w:rPr>
          <w:b/>
          <w:sz w:val="40"/>
          <w:szCs w:val="40"/>
        </w:rPr>
        <w:t>‘Günahk</w:t>
      </w:r>
      <w:r w:rsidR="002034A4">
        <w:rPr>
          <w:b/>
          <w:sz w:val="40"/>
          <w:szCs w:val="40"/>
        </w:rPr>
        <w:t>â</w:t>
      </w:r>
      <w:r w:rsidRPr="002034A4">
        <w:rPr>
          <w:b/>
          <w:sz w:val="40"/>
          <w:szCs w:val="40"/>
        </w:rPr>
        <w:t>rlar’ Cuma Günü Vizyonda!</w:t>
      </w:r>
    </w:p>
    <w:p w14:paraId="47D17B1E" w14:textId="77777777" w:rsidR="00EF5557" w:rsidRDefault="00EF5557" w:rsidP="002034A4">
      <w:pPr>
        <w:rPr>
          <w:b/>
          <w:sz w:val="26"/>
          <w:szCs w:val="26"/>
        </w:rPr>
      </w:pPr>
    </w:p>
    <w:p w14:paraId="5E3EFE2A" w14:textId="2958567E" w:rsidR="00EF5557" w:rsidRDefault="00000000" w:rsidP="002034A4">
      <w:pPr>
        <w:spacing w:after="160"/>
        <w:rPr>
          <w:sz w:val="24"/>
          <w:szCs w:val="24"/>
        </w:rPr>
      </w:pPr>
      <w:r w:rsidRPr="002034A4">
        <w:rPr>
          <w:b/>
          <w:sz w:val="24"/>
          <w:szCs w:val="24"/>
        </w:rPr>
        <w:t xml:space="preserve">Fragman: </w:t>
      </w:r>
      <w:hyperlink r:id="rId6" w:history="1">
        <w:r w:rsidR="002034A4" w:rsidRPr="002034A4">
          <w:rPr>
            <w:rStyle w:val="Kpr"/>
            <w:color w:val="4F81BD" w:themeColor="accent1"/>
            <w:sz w:val="24"/>
            <w:szCs w:val="24"/>
          </w:rPr>
          <w:t>https://www.youtube.com/watch?v=iEUf1_w3kuE</w:t>
        </w:r>
      </w:hyperlink>
      <w:r w:rsidR="002034A4" w:rsidRPr="002034A4">
        <w:rPr>
          <w:color w:val="4F81BD" w:themeColor="accent1"/>
          <w:sz w:val="24"/>
          <w:szCs w:val="24"/>
        </w:rPr>
        <w:t xml:space="preserve"> </w:t>
      </w:r>
      <w:r w:rsidRPr="002034A4">
        <w:rPr>
          <w:b/>
          <w:sz w:val="24"/>
          <w:szCs w:val="24"/>
        </w:rPr>
        <w:br/>
      </w:r>
      <w:r>
        <w:rPr>
          <w:b/>
          <w:sz w:val="28"/>
          <w:szCs w:val="28"/>
        </w:rPr>
        <w:br/>
      </w:r>
      <w:r>
        <w:rPr>
          <w:sz w:val="24"/>
          <w:szCs w:val="24"/>
        </w:rPr>
        <w:t xml:space="preserve">‘Black </w:t>
      </w:r>
      <w:proofErr w:type="spellStart"/>
      <w:r>
        <w:rPr>
          <w:sz w:val="24"/>
          <w:szCs w:val="24"/>
        </w:rPr>
        <w:t>Panther</w:t>
      </w:r>
      <w:proofErr w:type="spellEnd"/>
      <w:r>
        <w:rPr>
          <w:sz w:val="24"/>
          <w:szCs w:val="24"/>
        </w:rPr>
        <w:t>’ ve ‘</w:t>
      </w:r>
      <w:proofErr w:type="spellStart"/>
      <w:r>
        <w:rPr>
          <w:sz w:val="24"/>
          <w:szCs w:val="24"/>
        </w:rPr>
        <w:t>Creed</w:t>
      </w:r>
      <w:proofErr w:type="spellEnd"/>
      <w:r>
        <w:rPr>
          <w:sz w:val="24"/>
          <w:szCs w:val="24"/>
        </w:rPr>
        <w:t xml:space="preserve">’ ile sinema dünyasında iz bırakan </w:t>
      </w:r>
      <w:proofErr w:type="spellStart"/>
      <w:r>
        <w:rPr>
          <w:b/>
          <w:sz w:val="24"/>
          <w:szCs w:val="24"/>
        </w:rPr>
        <w:t>Ryan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Coogler</w:t>
      </w:r>
      <w:proofErr w:type="spellEnd"/>
      <w:r>
        <w:rPr>
          <w:sz w:val="24"/>
          <w:szCs w:val="24"/>
        </w:rPr>
        <w:t xml:space="preserve">, bu kez korku türünde izleyicinin karşısına çıkıyor. Başrolünde </w:t>
      </w:r>
      <w:r>
        <w:rPr>
          <w:b/>
          <w:sz w:val="24"/>
          <w:szCs w:val="24"/>
        </w:rPr>
        <w:t>Michael B. Jordan</w:t>
      </w:r>
      <w:r>
        <w:rPr>
          <w:sz w:val="24"/>
          <w:szCs w:val="24"/>
        </w:rPr>
        <w:t xml:space="preserve">’ın yer aldığı </w:t>
      </w:r>
      <w:r>
        <w:rPr>
          <w:b/>
          <w:sz w:val="24"/>
          <w:szCs w:val="24"/>
        </w:rPr>
        <w:t>‘Günahk</w:t>
      </w:r>
      <w:r w:rsidR="002034A4">
        <w:rPr>
          <w:b/>
          <w:sz w:val="24"/>
          <w:szCs w:val="24"/>
        </w:rPr>
        <w:t>â</w:t>
      </w:r>
      <w:r>
        <w:rPr>
          <w:b/>
          <w:sz w:val="24"/>
          <w:szCs w:val="24"/>
        </w:rPr>
        <w:t>rlar’</w:t>
      </w:r>
      <w:r>
        <w:rPr>
          <w:sz w:val="24"/>
          <w:szCs w:val="24"/>
        </w:rPr>
        <w:t>, geçmişlerinden kaçmaya çalışan ikiz kardeşlerin, memleketlerine dönüşlerinde karşılaştıkları karanlıkla yüzleşmelerini konu alıyor. ‘</w:t>
      </w:r>
      <w:proofErr w:type="gramStart"/>
      <w:r>
        <w:rPr>
          <w:sz w:val="24"/>
          <w:szCs w:val="24"/>
        </w:rPr>
        <w:t>Günahkarlar</w:t>
      </w:r>
      <w:proofErr w:type="gramEnd"/>
      <w:r>
        <w:rPr>
          <w:sz w:val="24"/>
          <w:szCs w:val="24"/>
        </w:rPr>
        <w:t xml:space="preserve">’ 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dağıtımıyla cuma günü sinemalara geliyor.</w:t>
      </w:r>
    </w:p>
    <w:p w14:paraId="31A9816D" w14:textId="77777777" w:rsidR="00EF5557" w:rsidRDefault="00000000" w:rsidP="002034A4">
      <w:pPr>
        <w:spacing w:before="240" w:after="240"/>
        <w:rPr>
          <w:b/>
          <w:sz w:val="24"/>
          <w:szCs w:val="24"/>
        </w:rPr>
      </w:pPr>
      <w:r>
        <w:rPr>
          <w:sz w:val="24"/>
          <w:szCs w:val="24"/>
        </w:rPr>
        <w:t xml:space="preserve">1930’ların </w:t>
      </w:r>
      <w:r>
        <w:rPr>
          <w:b/>
          <w:sz w:val="24"/>
          <w:szCs w:val="24"/>
        </w:rPr>
        <w:t xml:space="preserve">Jim </w:t>
      </w:r>
      <w:proofErr w:type="spellStart"/>
      <w:r>
        <w:rPr>
          <w:b/>
          <w:sz w:val="24"/>
          <w:szCs w:val="24"/>
        </w:rPr>
        <w:t>Crow</w:t>
      </w:r>
      <w:proofErr w:type="spellEnd"/>
      <w:r>
        <w:rPr>
          <w:b/>
          <w:sz w:val="24"/>
          <w:szCs w:val="24"/>
        </w:rPr>
        <w:t xml:space="preserve"> dönemindeki Mississippi</w:t>
      </w:r>
      <w:r>
        <w:rPr>
          <w:sz w:val="24"/>
          <w:szCs w:val="24"/>
        </w:rPr>
        <w:t xml:space="preserve">’de geçen film, </w:t>
      </w:r>
      <w:proofErr w:type="spellStart"/>
      <w:r>
        <w:rPr>
          <w:sz w:val="24"/>
          <w:szCs w:val="24"/>
        </w:rPr>
        <w:t>blues</w:t>
      </w:r>
      <w:proofErr w:type="spellEnd"/>
      <w:r>
        <w:rPr>
          <w:sz w:val="24"/>
          <w:szCs w:val="24"/>
        </w:rPr>
        <w:t xml:space="preserve"> müziğin tınıları, dini baskılar ve bastırılmış arzular arasında geçen bir mücadeleyi anlatıyor. Michael B. Jordan, Chicago’daki suç dünyasından uzaklaşıp memleketine dönen </w:t>
      </w:r>
      <w:proofErr w:type="spellStart"/>
      <w:r>
        <w:rPr>
          <w:b/>
          <w:sz w:val="24"/>
          <w:szCs w:val="24"/>
        </w:rPr>
        <w:t>Smoke</w:t>
      </w:r>
      <w:proofErr w:type="spellEnd"/>
      <w:r>
        <w:rPr>
          <w:sz w:val="24"/>
          <w:szCs w:val="24"/>
        </w:rPr>
        <w:t xml:space="preserve"> ve </w:t>
      </w:r>
      <w:proofErr w:type="spellStart"/>
      <w:r>
        <w:rPr>
          <w:b/>
          <w:sz w:val="24"/>
          <w:szCs w:val="24"/>
        </w:rPr>
        <w:t>Stack</w:t>
      </w:r>
      <w:proofErr w:type="spellEnd"/>
      <w:r>
        <w:rPr>
          <w:sz w:val="24"/>
          <w:szCs w:val="24"/>
        </w:rPr>
        <w:t xml:space="preserve"> adında iki kardeşe hayat veriyor. Eski bir değirmeni bir </w:t>
      </w:r>
      <w:proofErr w:type="spellStart"/>
      <w:r>
        <w:rPr>
          <w:b/>
          <w:sz w:val="24"/>
          <w:szCs w:val="24"/>
        </w:rPr>
        <w:t>Blues</w:t>
      </w:r>
      <w:proofErr w:type="spellEnd"/>
      <w:r>
        <w:rPr>
          <w:b/>
          <w:sz w:val="24"/>
          <w:szCs w:val="24"/>
        </w:rPr>
        <w:t xml:space="preserve"> meyhanesine</w:t>
      </w:r>
      <w:r>
        <w:rPr>
          <w:sz w:val="24"/>
          <w:szCs w:val="24"/>
        </w:rPr>
        <w:t xml:space="preserve"> çevirmeye çalışan ikizlerin bu yeniden doğuş çabası, görünmeyen güçlerin ve geçmişin hayaletleriyle hesaplaşmaya dönüşüyor.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‘Bu film tarihsel değil, bugünün ruhuna dair bir şeyler söylüyor’</w:t>
      </w:r>
    </w:p>
    <w:p w14:paraId="4ED70937" w14:textId="77777777" w:rsidR="00EF5557" w:rsidRDefault="00000000" w:rsidP="002034A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Yönetmen </w:t>
      </w:r>
      <w:proofErr w:type="spellStart"/>
      <w:r>
        <w:rPr>
          <w:sz w:val="24"/>
          <w:szCs w:val="24"/>
        </w:rPr>
        <w:t>Ryan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Coogler</w:t>
      </w:r>
      <w:proofErr w:type="spellEnd"/>
      <w:r>
        <w:rPr>
          <w:sz w:val="24"/>
          <w:szCs w:val="24"/>
        </w:rPr>
        <w:t xml:space="preserve">, filmin çıkış noktasını kendi aile geçmişinden aldığını söylüyor: ‘Amcam James’le büyürken birlikte </w:t>
      </w:r>
      <w:proofErr w:type="spellStart"/>
      <w:r>
        <w:rPr>
          <w:sz w:val="24"/>
          <w:szCs w:val="24"/>
        </w:rPr>
        <w:t>blues</w:t>
      </w:r>
      <w:proofErr w:type="spellEnd"/>
      <w:r>
        <w:rPr>
          <w:sz w:val="24"/>
          <w:szCs w:val="24"/>
        </w:rPr>
        <w:t xml:space="preserve"> dinlerdik. Bu müzik ‘şeytanın işi’ olarak görülürdü. Kilise bu müziğe karşıydı ama aynı insanlar geceleri </w:t>
      </w:r>
      <w:proofErr w:type="spellStart"/>
      <w:r>
        <w:rPr>
          <w:sz w:val="24"/>
          <w:szCs w:val="24"/>
        </w:rPr>
        <w:t>blues</w:t>
      </w:r>
      <w:proofErr w:type="spellEnd"/>
      <w:r>
        <w:rPr>
          <w:sz w:val="24"/>
          <w:szCs w:val="24"/>
        </w:rPr>
        <w:t xml:space="preserve"> meyhanelerindeydi’. Filmin bu çelişki üzerine olduğunu belirten </w:t>
      </w:r>
      <w:proofErr w:type="spellStart"/>
      <w:r>
        <w:rPr>
          <w:sz w:val="24"/>
          <w:szCs w:val="24"/>
        </w:rPr>
        <w:t>Coogler</w:t>
      </w:r>
      <w:proofErr w:type="spellEnd"/>
      <w:r>
        <w:rPr>
          <w:sz w:val="24"/>
          <w:szCs w:val="24"/>
        </w:rPr>
        <w:t>, ‘</w:t>
      </w:r>
      <w:proofErr w:type="gramStart"/>
      <w:r>
        <w:rPr>
          <w:sz w:val="24"/>
          <w:szCs w:val="24"/>
        </w:rPr>
        <w:t>Günahkarlar</w:t>
      </w:r>
      <w:proofErr w:type="gramEnd"/>
      <w:r>
        <w:rPr>
          <w:sz w:val="24"/>
          <w:szCs w:val="24"/>
        </w:rPr>
        <w:t xml:space="preserve"> klasik bir korku filmi değil, bir kültürel yüzleşme’ diyor ve ekliyor ‘Pek çok </w:t>
      </w:r>
      <w:proofErr w:type="spellStart"/>
      <w:r>
        <w:rPr>
          <w:sz w:val="24"/>
          <w:szCs w:val="24"/>
        </w:rPr>
        <w:t>blues</w:t>
      </w:r>
      <w:proofErr w:type="spellEnd"/>
      <w:r>
        <w:rPr>
          <w:sz w:val="24"/>
          <w:szCs w:val="24"/>
        </w:rPr>
        <w:t xml:space="preserve"> sanatçısının babası vaizdi. İnsanlar hem müziğe karşı çıkıyor hem de o müziği gizlice benimsiyordu. Bu ikilik beni hep büyülemiştir’</w:t>
      </w:r>
    </w:p>
    <w:p w14:paraId="2CE25958" w14:textId="77777777" w:rsidR="00EF5557" w:rsidRDefault="00000000" w:rsidP="002034A4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İkizlerin Gölgesinde: Michael B. Jordan</w:t>
      </w:r>
    </w:p>
    <w:p w14:paraId="028A5B97" w14:textId="77777777" w:rsidR="00EF5557" w:rsidRDefault="00000000" w:rsidP="002034A4">
      <w:pPr>
        <w:spacing w:before="240" w:after="240"/>
        <w:rPr>
          <w:b/>
          <w:sz w:val="24"/>
          <w:szCs w:val="24"/>
        </w:rPr>
      </w:pPr>
      <w:r>
        <w:rPr>
          <w:sz w:val="24"/>
          <w:szCs w:val="24"/>
        </w:rPr>
        <w:t xml:space="preserve">Jordan, iki farklı karakteri farklı enerji seviyeleriyle canlandırıyor. Oyuncu arkadaşı </w:t>
      </w:r>
      <w:proofErr w:type="spellStart"/>
      <w:r>
        <w:rPr>
          <w:sz w:val="24"/>
          <w:szCs w:val="24"/>
        </w:rPr>
        <w:t>Wunmi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Mosaku</w:t>
      </w:r>
      <w:proofErr w:type="spellEnd"/>
      <w:r>
        <w:rPr>
          <w:sz w:val="24"/>
          <w:szCs w:val="24"/>
        </w:rPr>
        <w:t xml:space="preserve">, Jordan’ın iki karakter arasındaki ayrımı ‘yalnızca ses tonuyla bile net şekilde ortaya koyduğunu’ söylüyor. </w:t>
      </w:r>
      <w:proofErr w:type="spellStart"/>
      <w:r>
        <w:rPr>
          <w:sz w:val="24"/>
          <w:szCs w:val="24"/>
        </w:rPr>
        <w:t>Hailee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Steinfeld</w:t>
      </w:r>
      <w:proofErr w:type="spellEnd"/>
      <w:r>
        <w:rPr>
          <w:sz w:val="24"/>
          <w:szCs w:val="24"/>
        </w:rPr>
        <w:t xml:space="preserve"> ise setteki deneyimi şöyle anlatıyor:</w:t>
      </w:r>
      <w:r>
        <w:rPr>
          <w:b/>
          <w:sz w:val="24"/>
          <w:szCs w:val="24"/>
        </w:rPr>
        <w:t xml:space="preserve"> ‘Michael sahneye girdiğinde, hangi karakter olduğunu hemen anlıyorduk. Bu çok doğal bir akıştı’</w:t>
      </w:r>
    </w:p>
    <w:p w14:paraId="10E8626F" w14:textId="77777777" w:rsidR="00EF5557" w:rsidRDefault="00000000" w:rsidP="002034A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Oscar adayı </w:t>
      </w:r>
      <w:proofErr w:type="spellStart"/>
      <w:r>
        <w:rPr>
          <w:sz w:val="24"/>
          <w:szCs w:val="24"/>
        </w:rPr>
        <w:t>Ryan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Coogler’ın</w:t>
      </w:r>
      <w:proofErr w:type="spellEnd"/>
      <w:r>
        <w:rPr>
          <w:sz w:val="24"/>
          <w:szCs w:val="24"/>
        </w:rPr>
        <w:t xml:space="preserve"> yazıp yönettiği filmde Jordan’a </w:t>
      </w:r>
      <w:proofErr w:type="spellStart"/>
      <w:r>
        <w:rPr>
          <w:sz w:val="24"/>
          <w:szCs w:val="24"/>
        </w:rPr>
        <w:t>Hailee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Steinfeld</w:t>
      </w:r>
      <w:proofErr w:type="spellEnd"/>
      <w:r>
        <w:rPr>
          <w:sz w:val="24"/>
          <w:szCs w:val="24"/>
        </w:rPr>
        <w:t xml:space="preserve">, Jack </w:t>
      </w:r>
      <w:proofErr w:type="spellStart"/>
      <w:r>
        <w:rPr>
          <w:sz w:val="24"/>
          <w:szCs w:val="24"/>
        </w:rPr>
        <w:t>O'Connell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Wunmi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Mosaku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Jayme</w:t>
      </w:r>
      <w:proofErr w:type="spellEnd"/>
      <w:r>
        <w:rPr>
          <w:sz w:val="24"/>
          <w:szCs w:val="24"/>
        </w:rPr>
        <w:t xml:space="preserve"> Lawson, </w:t>
      </w:r>
      <w:proofErr w:type="spellStart"/>
      <w:r>
        <w:rPr>
          <w:sz w:val="24"/>
          <w:szCs w:val="24"/>
        </w:rPr>
        <w:t>Omar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Benson</w:t>
      </w:r>
      <w:proofErr w:type="spellEnd"/>
      <w:r>
        <w:rPr>
          <w:sz w:val="24"/>
          <w:szCs w:val="24"/>
        </w:rPr>
        <w:t xml:space="preserve"> Miller ve </w:t>
      </w:r>
      <w:proofErr w:type="spellStart"/>
      <w:r>
        <w:rPr>
          <w:sz w:val="24"/>
          <w:szCs w:val="24"/>
        </w:rPr>
        <w:t>Delroy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Lindo</w:t>
      </w:r>
      <w:proofErr w:type="spellEnd"/>
      <w:r>
        <w:rPr>
          <w:sz w:val="24"/>
          <w:szCs w:val="24"/>
        </w:rPr>
        <w:t xml:space="preserve"> eşlik ediyor.</w:t>
      </w:r>
    </w:p>
    <w:p w14:paraId="32612DEB" w14:textId="77777777" w:rsidR="002034A4" w:rsidRDefault="002034A4" w:rsidP="002034A4">
      <w:pPr>
        <w:spacing w:before="240" w:after="240"/>
        <w:rPr>
          <w:sz w:val="24"/>
          <w:szCs w:val="24"/>
        </w:rPr>
      </w:pPr>
    </w:p>
    <w:p w14:paraId="3E15071B" w14:textId="79E1D5F7" w:rsidR="00EF5557" w:rsidRDefault="00000000" w:rsidP="002034A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Warner </w:t>
      </w:r>
      <w:proofErr w:type="spellStart"/>
      <w:r>
        <w:rPr>
          <w:sz w:val="24"/>
          <w:szCs w:val="24"/>
        </w:rPr>
        <w:t>Bros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Pictures</w:t>
      </w:r>
      <w:proofErr w:type="spellEnd"/>
      <w:r>
        <w:rPr>
          <w:sz w:val="24"/>
          <w:szCs w:val="24"/>
        </w:rPr>
        <w:t xml:space="preserve"> imzalı Günahk</w:t>
      </w:r>
      <w:r w:rsidR="002034A4">
        <w:rPr>
          <w:sz w:val="24"/>
          <w:szCs w:val="24"/>
        </w:rPr>
        <w:t>â</w:t>
      </w:r>
      <w:r>
        <w:rPr>
          <w:sz w:val="24"/>
          <w:szCs w:val="24"/>
        </w:rPr>
        <w:t xml:space="preserve">rlar Türkiye’de TME </w:t>
      </w:r>
      <w:proofErr w:type="spellStart"/>
      <w:r>
        <w:rPr>
          <w:sz w:val="24"/>
          <w:szCs w:val="24"/>
        </w:rPr>
        <w:t>Films</w:t>
      </w:r>
      <w:proofErr w:type="spellEnd"/>
      <w:r>
        <w:rPr>
          <w:sz w:val="24"/>
          <w:szCs w:val="24"/>
        </w:rPr>
        <w:t xml:space="preserve"> dağıtımı ile 18 Nisan Cuma günü itibariyle sinemalarda.</w:t>
      </w:r>
    </w:p>
    <w:p w14:paraId="47BE6BED" w14:textId="77777777" w:rsidR="00EF5557" w:rsidRDefault="00EF5557" w:rsidP="002034A4">
      <w:pPr>
        <w:spacing w:before="240" w:after="240"/>
        <w:rPr>
          <w:sz w:val="22"/>
          <w:szCs w:val="22"/>
        </w:rPr>
      </w:pPr>
    </w:p>
    <w:p w14:paraId="6F3F4A1F" w14:textId="77777777" w:rsidR="00EF5557" w:rsidRDefault="00EF5557" w:rsidP="002034A4">
      <w:pPr>
        <w:spacing w:before="240" w:after="240"/>
        <w:rPr>
          <w:sz w:val="24"/>
          <w:szCs w:val="24"/>
        </w:rPr>
      </w:pPr>
    </w:p>
    <w:p w14:paraId="6A0B7E19" w14:textId="77777777" w:rsidR="00EF5557" w:rsidRDefault="00000000" w:rsidP="002034A4">
      <w:pPr>
        <w:spacing w:before="240" w:after="240"/>
        <w:rPr>
          <w:sz w:val="24"/>
          <w:szCs w:val="24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EF555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AA151" w14:textId="77777777" w:rsidR="00366D5E" w:rsidRDefault="00366D5E">
      <w:r>
        <w:separator/>
      </w:r>
    </w:p>
  </w:endnote>
  <w:endnote w:type="continuationSeparator" w:id="0">
    <w:p w14:paraId="34DC9D06" w14:textId="77777777" w:rsidR="00366D5E" w:rsidRDefault="0036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B65E" w14:textId="77777777" w:rsidR="00EF5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1F293793" w14:textId="77777777" w:rsidR="00EF5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0B45CCF6" w14:textId="77777777" w:rsidR="00EF5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0FD4A295" w14:textId="77777777" w:rsidR="00EF5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6B6DDDDB" w14:textId="77777777" w:rsidR="00EF5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70E50F72" w14:textId="77777777" w:rsidR="00EF5557" w:rsidRDefault="00EF555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FE13" w14:textId="77777777" w:rsidR="00EF5557" w:rsidRDefault="00EF55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A46F4" w14:textId="77777777" w:rsidR="00366D5E" w:rsidRDefault="00366D5E">
      <w:r>
        <w:separator/>
      </w:r>
    </w:p>
  </w:footnote>
  <w:footnote w:type="continuationSeparator" w:id="0">
    <w:p w14:paraId="40B8FDAD" w14:textId="77777777" w:rsidR="00366D5E" w:rsidRDefault="0036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E1A79" w14:textId="77777777" w:rsidR="00EF5557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EA4DB6B" wp14:editId="458291E4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D1190" w14:textId="77777777" w:rsidR="00EF5557" w:rsidRDefault="00EF555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557"/>
    <w:rsid w:val="002034A4"/>
    <w:rsid w:val="00366D5E"/>
    <w:rsid w:val="00E3782E"/>
    <w:rsid w:val="00E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2A9F"/>
  <w15:docId w15:val="{F4D29F11-0D79-4075-ACD2-00AC310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2034A4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03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EUf1_w3ku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2025-04-17T21:14:00Z</dcterms:created>
  <dcterms:modified xsi:type="dcterms:W3CDTF">2025-04-17T21:16:00Z</dcterms:modified>
</cp:coreProperties>
</file>